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廊坊市大厂回族自治县环境保护局</w:t>
      </w:r>
    </w:p>
    <w:p>
      <w:pPr>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2017年度部门决算信息公开情况说明</w:t>
      </w:r>
    </w:p>
    <w:p>
      <w:pPr>
        <w:spacing w:line="600" w:lineRule="exact"/>
        <w:rPr>
          <w:rFonts w:ascii="仿宋" w:hAnsi="仿宋" w:eastAsia="仿宋"/>
          <w:sz w:val="32"/>
          <w:szCs w:val="32"/>
        </w:rPr>
      </w:pPr>
    </w:p>
    <w:p>
      <w:pPr>
        <w:spacing w:line="600" w:lineRule="exact"/>
        <w:ind w:firstLine="707"/>
        <w:jc w:val="left"/>
        <w:rPr>
          <w:rFonts w:ascii="仿宋" w:hAnsi="仿宋" w:eastAsia="仿宋"/>
          <w:sz w:val="32"/>
          <w:szCs w:val="32"/>
        </w:rPr>
      </w:pPr>
      <w:r>
        <w:rPr>
          <w:rFonts w:hint="eastAsia" w:ascii="仿宋" w:hAnsi="仿宋" w:eastAsia="仿宋"/>
          <w:sz w:val="32"/>
          <w:szCs w:val="32"/>
        </w:rPr>
        <w:t>按照《中华人民共和国预算法》</w:t>
      </w:r>
      <w:bookmarkStart w:id="0" w:name="_GoBack"/>
      <w:bookmarkEnd w:id="0"/>
      <w:r>
        <w:rPr>
          <w:rFonts w:hint="eastAsia" w:ascii="仿宋" w:hAnsi="仿宋" w:eastAsia="仿宋"/>
          <w:sz w:val="32"/>
          <w:szCs w:val="32"/>
        </w:rPr>
        <w:t>、《河北省财政厅关于印发&lt;河北省预决算公开操作规程实施细则&gt;的通知》（冀财预[2016]129号）等规定，现将廊坊市大厂回族自治县环境保护局2017年部门决算公开如下：</w:t>
      </w:r>
    </w:p>
    <w:p>
      <w:pPr>
        <w:spacing w:line="600" w:lineRule="exact"/>
        <w:ind w:firstLine="709"/>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第一部分   部门概况</w:t>
      </w:r>
    </w:p>
    <w:p>
      <w:pPr>
        <w:spacing w:line="600" w:lineRule="exact"/>
        <w:ind w:firstLine="709"/>
        <w:rPr>
          <w:rFonts w:ascii="楷体" w:hAnsi="楷体" w:eastAsia="楷体"/>
          <w:b/>
          <w:sz w:val="32"/>
          <w:szCs w:val="32"/>
        </w:rPr>
      </w:pPr>
      <w:r>
        <w:rPr>
          <w:rFonts w:hint="eastAsia" w:ascii="楷体" w:hAnsi="楷体" w:eastAsia="楷体"/>
          <w:b/>
          <w:sz w:val="32"/>
          <w:szCs w:val="32"/>
        </w:rPr>
        <w:t>一、部门职责：</w:t>
      </w:r>
    </w:p>
    <w:p>
      <w:pPr>
        <w:spacing w:line="600" w:lineRule="exact"/>
        <w:ind w:firstLine="707"/>
        <w:rPr>
          <w:rFonts w:ascii="仿宋" w:hAnsi="仿宋" w:eastAsia="仿宋"/>
          <w:sz w:val="32"/>
          <w:szCs w:val="32"/>
        </w:rPr>
      </w:pPr>
      <w:r>
        <w:rPr>
          <w:rFonts w:hint="eastAsia" w:ascii="仿宋" w:hAnsi="仿宋" w:eastAsia="仿宋"/>
          <w:sz w:val="32"/>
          <w:szCs w:val="32"/>
        </w:rPr>
        <w:t>1、贯彻执行国家环境保护方针、政策和法律、法规；</w:t>
      </w:r>
    </w:p>
    <w:p>
      <w:pPr>
        <w:spacing w:line="600" w:lineRule="exact"/>
        <w:ind w:firstLine="707"/>
        <w:rPr>
          <w:rFonts w:ascii="仿宋" w:hAnsi="仿宋" w:eastAsia="仿宋"/>
          <w:sz w:val="32"/>
          <w:szCs w:val="32"/>
        </w:rPr>
      </w:pPr>
      <w:r>
        <w:rPr>
          <w:rFonts w:hint="eastAsia" w:ascii="仿宋" w:hAnsi="仿宋" w:eastAsia="仿宋"/>
          <w:sz w:val="32"/>
          <w:szCs w:val="32"/>
        </w:rPr>
        <w:t>2、组织拟订和监督实施环境保护规划及重点区域污染防治规划。组织编制环境功能区划。参与制定本县国民经济和社会发展规划、主体功能区划；</w:t>
      </w:r>
    </w:p>
    <w:p>
      <w:pPr>
        <w:spacing w:line="600" w:lineRule="exact"/>
        <w:ind w:firstLine="707"/>
        <w:rPr>
          <w:rFonts w:ascii="仿宋" w:hAnsi="仿宋" w:eastAsia="仿宋"/>
          <w:sz w:val="32"/>
          <w:szCs w:val="32"/>
        </w:rPr>
      </w:pPr>
      <w:r>
        <w:rPr>
          <w:rFonts w:hint="eastAsia" w:ascii="仿宋" w:hAnsi="仿宋" w:eastAsia="仿宋"/>
          <w:sz w:val="32"/>
          <w:szCs w:val="32"/>
        </w:rPr>
        <w:t>3、（三）负责全县污染减排工作。拟订并监督实施主要污染物排放总量控制计划，负责排污许可证的审批管理，负责排污企业的监督检查，组织开展排污权交易工作；</w:t>
      </w:r>
    </w:p>
    <w:p>
      <w:pPr>
        <w:spacing w:line="600" w:lineRule="exact"/>
        <w:ind w:firstLine="707"/>
        <w:rPr>
          <w:rFonts w:ascii="仿宋" w:hAnsi="仿宋" w:eastAsia="仿宋"/>
          <w:sz w:val="32"/>
          <w:szCs w:val="32"/>
        </w:rPr>
      </w:pPr>
      <w:r>
        <w:rPr>
          <w:rFonts w:hint="eastAsia" w:ascii="仿宋" w:hAnsi="仿宋" w:eastAsia="仿宋"/>
          <w:sz w:val="32"/>
          <w:szCs w:val="32"/>
        </w:rPr>
        <w:t>4、负责从源头上预防、控制环境污染和生态破坏，指导建设项目环境保护工作；</w:t>
      </w:r>
    </w:p>
    <w:p>
      <w:pPr>
        <w:spacing w:line="600" w:lineRule="exact"/>
        <w:ind w:firstLine="707"/>
        <w:rPr>
          <w:rFonts w:ascii="仿宋" w:hAnsi="仿宋" w:eastAsia="仿宋"/>
          <w:sz w:val="32"/>
          <w:szCs w:val="32"/>
        </w:rPr>
      </w:pPr>
      <w:r>
        <w:rPr>
          <w:rFonts w:hint="eastAsia" w:ascii="仿宋" w:hAnsi="仿宋" w:eastAsia="仿宋"/>
          <w:sz w:val="32"/>
          <w:szCs w:val="32"/>
        </w:rPr>
        <w:t>5、负责环境污染防治的监督管理。对噪声、固体废物以及化学品等的污染防治进行监管，会同有关部门监督管理饮用水水源地环境保护工作。组织和协调重点区域污染防治工作，排污收费工作；</w:t>
      </w:r>
    </w:p>
    <w:p>
      <w:pPr>
        <w:spacing w:line="600" w:lineRule="exact"/>
        <w:ind w:firstLine="707"/>
        <w:rPr>
          <w:rFonts w:ascii="仿宋" w:hAnsi="仿宋" w:eastAsia="仿宋"/>
          <w:sz w:val="32"/>
          <w:szCs w:val="32"/>
        </w:rPr>
      </w:pPr>
      <w:r>
        <w:rPr>
          <w:rFonts w:hint="eastAsia" w:ascii="仿宋" w:hAnsi="仿宋" w:eastAsia="仿宋"/>
          <w:sz w:val="32"/>
          <w:szCs w:val="32"/>
        </w:rPr>
        <w:t>6、组织、指导生态保护工作。拟订生态保护规划，监督对生态环境有影响的自然资源开发利用活动、重要生态环境建设和生态破坏恢复工作；</w:t>
      </w:r>
    </w:p>
    <w:p>
      <w:pPr>
        <w:spacing w:line="600" w:lineRule="exact"/>
        <w:ind w:firstLine="707"/>
        <w:rPr>
          <w:rFonts w:ascii="仿宋" w:hAnsi="仿宋" w:eastAsia="仿宋"/>
          <w:sz w:val="32"/>
          <w:szCs w:val="32"/>
        </w:rPr>
      </w:pPr>
      <w:r>
        <w:rPr>
          <w:rFonts w:hint="eastAsia" w:ascii="仿宋" w:hAnsi="仿宋" w:eastAsia="仿宋"/>
          <w:sz w:val="32"/>
          <w:szCs w:val="32"/>
        </w:rPr>
        <w:t>7、拟订农村环境保护规划并监督实施，组织指导、协调农村环境综合整治工作以及农村生态环境保护工作，负责指导、协调和管理农村环境保护与生态示范建设工作，负责指导和监督管理农村土壤环境保护和综合治理工作；</w:t>
      </w:r>
    </w:p>
    <w:p>
      <w:pPr>
        <w:spacing w:line="600" w:lineRule="exact"/>
        <w:ind w:firstLine="707"/>
        <w:rPr>
          <w:rFonts w:ascii="仿宋" w:hAnsi="仿宋" w:eastAsia="仿宋"/>
          <w:sz w:val="32"/>
          <w:szCs w:val="32"/>
        </w:rPr>
      </w:pPr>
      <w:r>
        <w:rPr>
          <w:rFonts w:hint="eastAsia" w:ascii="仿宋" w:hAnsi="仿宋" w:eastAsia="仿宋"/>
          <w:sz w:val="32"/>
          <w:szCs w:val="32"/>
        </w:rPr>
        <w:t>8、拟订大气污染防治规划、计划以及防治措施并监督实施，负责大气环境保护和监督管理。负责对排污单位大气污染防治工作的监管，负责烟粉尘治理工作的监管，负责挥发性有机污染物调查；</w:t>
      </w:r>
    </w:p>
    <w:p>
      <w:pPr>
        <w:spacing w:line="600" w:lineRule="exact"/>
        <w:ind w:firstLine="707"/>
        <w:rPr>
          <w:rFonts w:ascii="仿宋" w:hAnsi="仿宋" w:eastAsia="仿宋"/>
          <w:sz w:val="32"/>
          <w:szCs w:val="32"/>
        </w:rPr>
      </w:pPr>
      <w:r>
        <w:rPr>
          <w:rFonts w:hint="eastAsia" w:ascii="仿宋" w:hAnsi="仿宋" w:eastAsia="仿宋"/>
          <w:sz w:val="32"/>
          <w:szCs w:val="32"/>
        </w:rPr>
        <w:t>9、负责水环境保护及水污染防治的监督管理；</w:t>
      </w:r>
    </w:p>
    <w:p>
      <w:pPr>
        <w:spacing w:line="600" w:lineRule="exact"/>
        <w:ind w:firstLine="707"/>
        <w:rPr>
          <w:rFonts w:ascii="仿宋" w:hAnsi="仿宋" w:eastAsia="仿宋"/>
          <w:sz w:val="32"/>
          <w:szCs w:val="32"/>
        </w:rPr>
      </w:pPr>
      <w:r>
        <w:rPr>
          <w:rFonts w:hint="eastAsia" w:ascii="仿宋" w:hAnsi="仿宋" w:eastAsia="仿宋"/>
          <w:sz w:val="32"/>
          <w:szCs w:val="32"/>
        </w:rPr>
        <w:t>10、参与核与辐射污染事故的应急处置和调查工作，参与核与辐射恐怖事件的防范与处置工作；</w:t>
      </w:r>
    </w:p>
    <w:p>
      <w:pPr>
        <w:spacing w:line="600" w:lineRule="exact"/>
        <w:ind w:firstLine="707"/>
        <w:rPr>
          <w:rFonts w:ascii="仿宋" w:hAnsi="仿宋" w:eastAsia="仿宋"/>
          <w:sz w:val="32"/>
          <w:szCs w:val="32"/>
        </w:rPr>
      </w:pPr>
      <w:r>
        <w:rPr>
          <w:rFonts w:hint="eastAsia" w:ascii="仿宋" w:hAnsi="仿宋" w:eastAsia="仿宋"/>
          <w:sz w:val="32"/>
          <w:szCs w:val="32"/>
        </w:rPr>
        <w:t>11、负责环境监察与稽查工作；组织开展环境保护执法监督检查；</w:t>
      </w:r>
    </w:p>
    <w:p>
      <w:pPr>
        <w:spacing w:line="600" w:lineRule="exact"/>
        <w:ind w:firstLine="707"/>
        <w:rPr>
          <w:rFonts w:ascii="仿宋" w:hAnsi="仿宋" w:eastAsia="仿宋"/>
          <w:sz w:val="32"/>
          <w:szCs w:val="32"/>
        </w:rPr>
      </w:pPr>
      <w:r>
        <w:rPr>
          <w:rFonts w:hint="eastAsia" w:ascii="仿宋" w:hAnsi="仿宋" w:eastAsia="仿宋"/>
          <w:sz w:val="32"/>
          <w:szCs w:val="32"/>
        </w:rPr>
        <w:t>12、负责环境监测和信息发布，组织实施环境质量监测和污染源监督性监测；</w:t>
      </w:r>
    </w:p>
    <w:p>
      <w:pPr>
        <w:spacing w:line="600" w:lineRule="exact"/>
        <w:ind w:firstLine="707"/>
        <w:rPr>
          <w:rFonts w:ascii="仿宋" w:hAnsi="仿宋" w:eastAsia="仿宋"/>
          <w:sz w:val="32"/>
          <w:szCs w:val="32"/>
        </w:rPr>
      </w:pPr>
      <w:r>
        <w:rPr>
          <w:rFonts w:hint="eastAsia" w:ascii="仿宋" w:hAnsi="仿宋" w:eastAsia="仿宋"/>
          <w:sz w:val="32"/>
          <w:szCs w:val="32"/>
        </w:rPr>
        <w:t>13、参与指导和推动循环经济和环境保护产业发展 ；</w:t>
      </w:r>
    </w:p>
    <w:p>
      <w:pPr>
        <w:spacing w:line="600" w:lineRule="exact"/>
        <w:ind w:firstLine="707"/>
        <w:rPr>
          <w:rFonts w:ascii="仿宋" w:hAnsi="仿宋" w:eastAsia="仿宋"/>
          <w:sz w:val="32"/>
          <w:szCs w:val="32"/>
        </w:rPr>
      </w:pPr>
      <w:r>
        <w:rPr>
          <w:rFonts w:hint="eastAsia" w:ascii="仿宋" w:hAnsi="仿宋" w:eastAsia="仿宋"/>
          <w:sz w:val="32"/>
          <w:szCs w:val="32"/>
        </w:rPr>
        <w:t>14、编制本部门预算建议计划，并配合有关部门做好投资项目组织实施、资金使用管理和监督工作；</w:t>
      </w:r>
    </w:p>
    <w:p>
      <w:pPr>
        <w:spacing w:line="600" w:lineRule="exact"/>
        <w:ind w:firstLine="707"/>
        <w:rPr>
          <w:rFonts w:ascii="仿宋" w:hAnsi="仿宋" w:eastAsia="仿宋"/>
          <w:sz w:val="32"/>
          <w:szCs w:val="32"/>
        </w:rPr>
      </w:pPr>
      <w:r>
        <w:rPr>
          <w:rFonts w:hint="eastAsia" w:ascii="仿宋" w:hAnsi="仿宋" w:eastAsia="仿宋"/>
          <w:sz w:val="32"/>
          <w:szCs w:val="32"/>
        </w:rPr>
        <w:t>15、负责拟订并组织实施全县环境保护宣传教育计划，开展环境教育和环境保护民间组织的环保工作 ；</w:t>
      </w:r>
    </w:p>
    <w:p>
      <w:pPr>
        <w:spacing w:line="600" w:lineRule="exact"/>
        <w:ind w:firstLine="707"/>
        <w:rPr>
          <w:rFonts w:ascii="仿宋" w:hAnsi="仿宋" w:eastAsia="仿宋"/>
          <w:sz w:val="32"/>
          <w:szCs w:val="32"/>
        </w:rPr>
      </w:pPr>
      <w:r>
        <w:rPr>
          <w:rFonts w:hint="eastAsia" w:ascii="仿宋" w:hAnsi="仿宋" w:eastAsia="仿宋"/>
          <w:sz w:val="32"/>
          <w:szCs w:val="32"/>
        </w:rPr>
        <w:t>16、负责环境保护干部队伍、人才队伍建设，制定环境保护目标考核方案并实施；</w:t>
      </w:r>
    </w:p>
    <w:p>
      <w:pPr>
        <w:spacing w:line="600" w:lineRule="exact"/>
        <w:ind w:firstLine="707"/>
        <w:rPr>
          <w:rFonts w:ascii="仿宋" w:hAnsi="仿宋" w:eastAsia="仿宋"/>
          <w:sz w:val="32"/>
          <w:szCs w:val="32"/>
        </w:rPr>
      </w:pPr>
      <w:r>
        <w:rPr>
          <w:rFonts w:hint="eastAsia" w:ascii="仿宋" w:hAnsi="仿宋" w:eastAsia="仿宋"/>
          <w:sz w:val="32"/>
          <w:szCs w:val="32"/>
        </w:rPr>
        <w:t>17、承办县委、县人大、县政府、县政协交办的其他事项。</w:t>
      </w:r>
    </w:p>
    <w:p>
      <w:pPr>
        <w:spacing w:line="600" w:lineRule="exact"/>
        <w:ind w:firstLine="630"/>
        <w:rPr>
          <w:rFonts w:ascii="楷体" w:hAnsi="楷体" w:eastAsia="楷体"/>
          <w:b/>
          <w:sz w:val="32"/>
          <w:szCs w:val="32"/>
        </w:rPr>
      </w:pPr>
      <w:r>
        <w:rPr>
          <w:rFonts w:hint="eastAsia" w:ascii="楷体" w:hAnsi="楷体" w:eastAsia="楷体"/>
          <w:b/>
          <w:sz w:val="32"/>
          <w:szCs w:val="32"/>
        </w:rPr>
        <w:t>二、部门决算单位构成：</w:t>
      </w:r>
    </w:p>
    <w:p>
      <w:pPr>
        <w:spacing w:line="600" w:lineRule="exact"/>
        <w:ind w:firstLine="630"/>
        <w:rPr>
          <w:rFonts w:ascii="仿宋" w:hAnsi="仿宋" w:eastAsia="仿宋"/>
          <w:sz w:val="32"/>
          <w:szCs w:val="32"/>
        </w:rPr>
      </w:pPr>
      <w:r>
        <w:rPr>
          <w:rFonts w:hint="eastAsia" w:ascii="仿宋" w:hAnsi="仿宋" w:eastAsia="仿宋"/>
          <w:sz w:val="32"/>
          <w:szCs w:val="32"/>
        </w:rPr>
        <w:t>2017年度，纳入本部门决算汇编范围的独立核算单位共一个。</w:t>
      </w:r>
    </w:p>
    <w:p>
      <w:pPr>
        <w:jc w:val="center"/>
        <w:outlineLvl w:val="0"/>
        <w:rPr>
          <w:rFonts w:eastAsia="方正小标宋_GBK"/>
          <w:sz w:val="32"/>
          <w:szCs w:val="32"/>
        </w:rPr>
      </w:pPr>
      <w:r>
        <w:rPr>
          <w:rFonts w:hint="eastAsia" w:eastAsia="方正小标宋_GBK" w:cs="方正小标宋_GBK"/>
          <w:sz w:val="32"/>
          <w:szCs w:val="32"/>
        </w:rPr>
        <w:t>部门机构设置情况</w:t>
      </w:r>
    </w:p>
    <w:tbl>
      <w:tblPr>
        <w:tblStyle w:val="5"/>
        <w:tblW w:w="12318" w:type="dxa"/>
        <w:jc w:val="center"/>
        <w:tblLayout w:type="autofit"/>
        <w:tblCellMar>
          <w:top w:w="0" w:type="dxa"/>
          <w:left w:w="10" w:type="dxa"/>
          <w:bottom w:w="0" w:type="dxa"/>
          <w:right w:w="10" w:type="dxa"/>
        </w:tblCellMar>
      </w:tblPr>
      <w:tblGrid>
        <w:gridCol w:w="6003"/>
        <w:gridCol w:w="1789"/>
        <w:gridCol w:w="1789"/>
        <w:gridCol w:w="2737"/>
      </w:tblGrid>
      <w:tr>
        <w:tblPrEx>
          <w:tblCellMar>
            <w:top w:w="0" w:type="dxa"/>
            <w:left w:w="10" w:type="dxa"/>
            <w:bottom w:w="0" w:type="dxa"/>
            <w:right w:w="10" w:type="dxa"/>
          </w:tblCellMar>
        </w:tblPrEx>
        <w:trPr>
          <w:trHeight w:val="452" w:hRule="atLeast"/>
          <w:tblHeader/>
          <w:jc w:val="center"/>
        </w:trPr>
        <w:tc>
          <w:tcPr>
            <w:tcW w:w="600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单位名称</w:t>
            </w:r>
          </w:p>
        </w:tc>
        <w:tc>
          <w:tcPr>
            <w:tcW w:w="178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单位性质</w:t>
            </w:r>
          </w:p>
        </w:tc>
        <w:tc>
          <w:tcPr>
            <w:tcW w:w="178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单位规格</w:t>
            </w:r>
          </w:p>
        </w:tc>
        <w:tc>
          <w:tcPr>
            <w:tcW w:w="273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经费保障形式</w:t>
            </w:r>
          </w:p>
        </w:tc>
      </w:tr>
      <w:tr>
        <w:tblPrEx>
          <w:tblCellMar>
            <w:top w:w="0" w:type="dxa"/>
            <w:left w:w="10" w:type="dxa"/>
            <w:bottom w:w="0" w:type="dxa"/>
            <w:right w:w="10" w:type="dxa"/>
          </w:tblCellMar>
        </w:tblPrEx>
        <w:trPr>
          <w:trHeight w:val="300" w:hRule="atLeast"/>
          <w:tblHeader/>
          <w:jc w:val="center"/>
        </w:trPr>
        <w:tc>
          <w:tcPr>
            <w:tcW w:w="600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1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1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273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r>
      <w:tr>
        <w:tblPrEx>
          <w:tblCellMar>
            <w:top w:w="0" w:type="dxa"/>
            <w:left w:w="10" w:type="dxa"/>
            <w:bottom w:w="0" w:type="dxa"/>
            <w:right w:w="10" w:type="dxa"/>
          </w:tblCellMar>
        </w:tblPrEx>
        <w:trPr>
          <w:trHeight w:val="654" w:hRule="atLeast"/>
          <w:jc w:val="center"/>
        </w:trPr>
        <w:tc>
          <w:tcPr>
            <w:tcW w:w="60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廊坊市大厂回族自治县环境保护局</w:t>
            </w:r>
          </w:p>
        </w:tc>
        <w:tc>
          <w:tcPr>
            <w:tcW w:w="1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事业</w:t>
            </w:r>
          </w:p>
        </w:tc>
        <w:tc>
          <w:tcPr>
            <w:tcW w:w="1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正科级</w:t>
            </w:r>
          </w:p>
        </w:tc>
        <w:tc>
          <w:tcPr>
            <w:tcW w:w="273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财政拨款</w:t>
            </w:r>
          </w:p>
        </w:tc>
      </w:tr>
    </w:tbl>
    <w:p/>
    <w:p>
      <w:pPr>
        <w:spacing w:line="600" w:lineRule="exact"/>
        <w:ind w:firstLine="630"/>
        <w:jc w:val="center"/>
        <w:rPr>
          <w:rFonts w:ascii="黑体" w:hAnsi="黑体" w:eastAsia="黑体"/>
          <w:sz w:val="32"/>
          <w:szCs w:val="32"/>
        </w:rPr>
      </w:pPr>
      <w:r>
        <w:rPr>
          <w:rFonts w:hint="eastAsia" w:ascii="方正小标宋简体" w:hAnsi="方正小标宋简体" w:eastAsia="方正小标宋简体"/>
          <w:sz w:val="36"/>
          <w:szCs w:val="36"/>
        </w:rPr>
        <w:t>第二部分   2017年度部门决算报表</w:t>
      </w:r>
    </w:p>
    <w:p>
      <w:pPr>
        <w:numPr>
          <w:ilvl w:val="0"/>
          <w:numId w:val="1"/>
        </w:numPr>
        <w:spacing w:line="600" w:lineRule="exact"/>
        <w:ind w:left="1360" w:hanging="720"/>
        <w:rPr>
          <w:rFonts w:ascii="仿宋" w:hAnsi="仿宋" w:eastAsia="仿宋"/>
          <w:sz w:val="32"/>
          <w:szCs w:val="32"/>
        </w:rPr>
      </w:pPr>
      <w:r>
        <w:rPr>
          <w:rFonts w:hint="eastAsia" w:ascii="仿宋" w:hAnsi="仿宋" w:eastAsia="仿宋"/>
          <w:sz w:val="32"/>
          <w:szCs w:val="32"/>
        </w:rPr>
        <w:t>收入支出决算总表</w:t>
      </w:r>
    </w:p>
    <w:p>
      <w:pPr>
        <w:spacing w:line="600" w:lineRule="exact"/>
        <w:ind w:firstLine="640"/>
        <w:rPr>
          <w:rFonts w:ascii="仿宋" w:hAnsi="仿宋" w:eastAsia="仿宋"/>
          <w:sz w:val="32"/>
          <w:szCs w:val="32"/>
        </w:rPr>
      </w:pPr>
      <w:r>
        <w:rPr>
          <w:rFonts w:hint="eastAsia" w:ascii="仿宋" w:hAnsi="仿宋" w:eastAsia="仿宋"/>
          <w:sz w:val="32"/>
          <w:szCs w:val="32"/>
        </w:rPr>
        <w:t>二、收入决算表</w:t>
      </w:r>
    </w:p>
    <w:p>
      <w:pPr>
        <w:spacing w:line="600" w:lineRule="exact"/>
        <w:ind w:firstLine="640"/>
        <w:rPr>
          <w:rFonts w:ascii="仿宋" w:hAnsi="仿宋" w:eastAsia="仿宋" w:cs="宋体"/>
          <w:sz w:val="32"/>
          <w:szCs w:val="32"/>
        </w:rPr>
      </w:pPr>
      <w:r>
        <w:rPr>
          <w:rFonts w:hint="eastAsia" w:ascii="仿宋" w:hAnsi="仿宋" w:eastAsia="仿宋"/>
          <w:sz w:val="32"/>
          <w:szCs w:val="32"/>
        </w:rPr>
        <w:t>三、支出决算表</w:t>
      </w:r>
    </w:p>
    <w:p>
      <w:pPr>
        <w:spacing w:line="600" w:lineRule="exact"/>
        <w:ind w:firstLine="640"/>
        <w:rPr>
          <w:rFonts w:ascii="仿宋" w:hAnsi="仿宋" w:eastAsia="仿宋" w:cs="宋体"/>
          <w:sz w:val="32"/>
          <w:szCs w:val="32"/>
        </w:rPr>
      </w:pPr>
      <w:r>
        <w:rPr>
          <w:rFonts w:hint="eastAsia" w:ascii="仿宋" w:hAnsi="仿宋" w:eastAsia="仿宋"/>
          <w:sz w:val="32"/>
          <w:szCs w:val="32"/>
        </w:rPr>
        <w:t>四、财政拨款收入支出决算总表</w:t>
      </w:r>
    </w:p>
    <w:p>
      <w:pPr>
        <w:spacing w:line="600" w:lineRule="exact"/>
        <w:ind w:firstLine="640"/>
        <w:rPr>
          <w:rFonts w:ascii="仿宋" w:hAnsi="仿宋" w:eastAsia="仿宋"/>
          <w:sz w:val="32"/>
          <w:szCs w:val="32"/>
        </w:rPr>
      </w:pPr>
      <w:r>
        <w:rPr>
          <w:rFonts w:hint="eastAsia" w:ascii="仿宋" w:hAnsi="仿宋" w:eastAsia="仿宋"/>
          <w:sz w:val="32"/>
          <w:szCs w:val="32"/>
        </w:rPr>
        <w:t>五、一般公共预算财政拨款收入支出决算表</w:t>
      </w:r>
    </w:p>
    <w:p>
      <w:pPr>
        <w:spacing w:line="600" w:lineRule="exact"/>
        <w:ind w:firstLine="640"/>
        <w:rPr>
          <w:rFonts w:ascii="仿宋" w:hAnsi="仿宋" w:eastAsia="仿宋"/>
          <w:sz w:val="32"/>
          <w:szCs w:val="32"/>
        </w:rPr>
      </w:pPr>
      <w:r>
        <w:rPr>
          <w:rFonts w:hint="eastAsia" w:ascii="仿宋" w:hAnsi="仿宋" w:eastAsia="仿宋"/>
          <w:sz w:val="32"/>
          <w:szCs w:val="32"/>
        </w:rPr>
        <w:t>六、一般公共预算财政拨款基本支出决算表</w:t>
      </w:r>
    </w:p>
    <w:p>
      <w:pPr>
        <w:spacing w:line="600" w:lineRule="exact"/>
        <w:ind w:firstLine="640"/>
        <w:rPr>
          <w:rFonts w:ascii="仿宋" w:hAnsi="仿宋" w:eastAsia="仿宋"/>
          <w:sz w:val="32"/>
          <w:szCs w:val="32"/>
        </w:rPr>
      </w:pPr>
      <w:r>
        <w:rPr>
          <w:rFonts w:hint="eastAsia" w:ascii="仿宋" w:hAnsi="仿宋" w:eastAsia="仿宋"/>
          <w:sz w:val="32"/>
          <w:szCs w:val="32"/>
        </w:rPr>
        <w:t>七、政府性基金预算财政拨款收入支出决算表</w:t>
      </w:r>
    </w:p>
    <w:p>
      <w:pPr>
        <w:spacing w:line="600" w:lineRule="exact"/>
        <w:ind w:firstLine="640"/>
        <w:rPr>
          <w:rFonts w:ascii="仿宋" w:hAnsi="仿宋" w:eastAsia="仿宋"/>
          <w:sz w:val="32"/>
          <w:szCs w:val="32"/>
        </w:rPr>
      </w:pPr>
      <w:r>
        <w:rPr>
          <w:rFonts w:hint="eastAsia" w:ascii="仿宋" w:hAnsi="仿宋" w:eastAsia="仿宋"/>
          <w:sz w:val="32"/>
          <w:szCs w:val="32"/>
        </w:rPr>
        <w:t>八、国有资本经营预算财政拨款收入支出决算表</w:t>
      </w:r>
    </w:p>
    <w:p>
      <w:pPr>
        <w:spacing w:line="600" w:lineRule="exact"/>
        <w:ind w:firstLine="640"/>
        <w:rPr>
          <w:rFonts w:ascii="仿宋" w:hAnsi="仿宋" w:eastAsia="仿宋"/>
          <w:sz w:val="32"/>
          <w:szCs w:val="32"/>
        </w:rPr>
      </w:pPr>
      <w:r>
        <w:rPr>
          <w:rFonts w:hint="eastAsia" w:ascii="仿宋" w:hAnsi="仿宋" w:eastAsia="仿宋"/>
          <w:sz w:val="32"/>
          <w:szCs w:val="32"/>
        </w:rPr>
        <w:t>九、 “三公”经费及相关信息统计表</w:t>
      </w:r>
    </w:p>
    <w:p>
      <w:pPr>
        <w:spacing w:line="600" w:lineRule="exact"/>
        <w:ind w:firstLine="640"/>
        <w:rPr>
          <w:rFonts w:ascii="仿宋" w:hAnsi="仿宋" w:eastAsia="仿宋"/>
          <w:sz w:val="32"/>
          <w:szCs w:val="32"/>
        </w:rPr>
      </w:pPr>
      <w:r>
        <w:rPr>
          <w:rFonts w:hint="eastAsia" w:ascii="仿宋" w:hAnsi="仿宋" w:eastAsia="仿宋"/>
          <w:sz w:val="32"/>
          <w:szCs w:val="32"/>
        </w:rPr>
        <w:t>十、政府采购情况表</w:t>
      </w:r>
    </w:p>
    <w:p>
      <w:pPr>
        <w:spacing w:line="600" w:lineRule="exact"/>
        <w:ind w:firstLine="630"/>
        <w:jc w:val="center"/>
        <w:rPr>
          <w:rFonts w:ascii="黑体" w:hAnsi="黑体" w:eastAsia="黑体"/>
          <w:sz w:val="32"/>
          <w:szCs w:val="32"/>
        </w:rPr>
      </w:pPr>
      <w:r>
        <w:rPr>
          <w:rFonts w:hint="eastAsia" w:ascii="方正小标宋简体" w:hAnsi="方正小标宋简体" w:eastAsia="方正小标宋简体"/>
          <w:sz w:val="36"/>
          <w:szCs w:val="36"/>
        </w:rPr>
        <w:t>第三部分   部门决算情况说明</w:t>
      </w:r>
    </w:p>
    <w:p>
      <w:pPr>
        <w:spacing w:line="600" w:lineRule="exact"/>
        <w:ind w:firstLine="630"/>
        <w:jc w:val="left"/>
        <w:rPr>
          <w:rFonts w:ascii="仿宋" w:hAnsi="仿宋" w:eastAsia="仿宋"/>
          <w:sz w:val="32"/>
          <w:szCs w:val="32"/>
        </w:rPr>
      </w:pPr>
    </w:p>
    <w:p>
      <w:pPr>
        <w:spacing w:line="600" w:lineRule="exact"/>
        <w:ind w:left="640" w:firstLine="157"/>
        <w:rPr>
          <w:rFonts w:ascii="楷体" w:hAnsi="楷体" w:eastAsia="楷体" w:cs="仿宋_GB2312"/>
          <w:b/>
          <w:sz w:val="32"/>
          <w:szCs w:val="32"/>
        </w:rPr>
      </w:pPr>
      <w:r>
        <w:rPr>
          <w:rFonts w:hint="eastAsia" w:ascii="楷体" w:hAnsi="楷体" w:eastAsia="楷体" w:cs="仿宋_GB2312"/>
          <w:b/>
          <w:sz w:val="32"/>
          <w:szCs w:val="32"/>
        </w:rPr>
        <w:t>一、收入支出决算总体情况说明</w:t>
      </w:r>
    </w:p>
    <w:p>
      <w:pPr>
        <w:spacing w:line="600" w:lineRule="exact"/>
        <w:ind w:firstLine="640"/>
        <w:jc w:val="left"/>
        <w:rPr>
          <w:rFonts w:ascii="仿宋" w:hAnsi="仿宋" w:eastAsia="仿宋"/>
          <w:sz w:val="32"/>
          <w:szCs w:val="32"/>
        </w:rPr>
      </w:pPr>
      <w:r>
        <w:rPr>
          <w:rFonts w:hint="eastAsia" w:ascii="仿宋" w:hAnsi="仿宋" w:eastAsia="仿宋"/>
          <w:sz w:val="32"/>
          <w:szCs w:val="32"/>
        </w:rPr>
        <w:t>本</w:t>
      </w:r>
      <w:r>
        <w:rPr>
          <w:rFonts w:hint="eastAsia" w:ascii="仿宋" w:hAnsi="仿宋" w:eastAsia="仿宋" w:cs="仿宋_GB2312"/>
          <w:sz w:val="32"/>
          <w:szCs w:val="32"/>
        </w:rPr>
        <w:t>部门</w:t>
      </w:r>
      <w:r>
        <w:rPr>
          <w:rFonts w:ascii="仿宋" w:hAnsi="仿宋" w:eastAsia="仿宋" w:cs="仿宋_GB2312"/>
          <w:sz w:val="32"/>
          <w:szCs w:val="32"/>
        </w:rPr>
        <w:t>201</w:t>
      </w:r>
      <w:r>
        <w:rPr>
          <w:rFonts w:hint="eastAsia" w:ascii="仿宋" w:hAnsi="仿宋" w:eastAsia="仿宋" w:cs="仿宋_GB2312"/>
          <w:sz w:val="32"/>
          <w:szCs w:val="32"/>
        </w:rPr>
        <w:t>7年度年初结转和结余</w:t>
      </w:r>
      <w:r>
        <w:rPr>
          <w:rFonts w:ascii="仿宋" w:hAnsi="仿宋" w:eastAsia="仿宋" w:cs="仿宋_GB2312"/>
          <w:sz w:val="32"/>
          <w:szCs w:val="32"/>
        </w:rPr>
        <w:t>425</w:t>
      </w:r>
      <w:r>
        <w:rPr>
          <w:rFonts w:hint="eastAsia" w:ascii="仿宋" w:hAnsi="仿宋" w:eastAsia="仿宋" w:cs="仿宋_GB2312"/>
          <w:sz w:val="32"/>
          <w:szCs w:val="32"/>
        </w:rPr>
        <w:t>.</w:t>
      </w:r>
      <w:r>
        <w:rPr>
          <w:rFonts w:ascii="仿宋" w:hAnsi="仿宋" w:eastAsia="仿宋" w:cs="仿宋_GB2312"/>
          <w:sz w:val="32"/>
          <w:szCs w:val="32"/>
        </w:rPr>
        <w:t>34</w:t>
      </w:r>
      <w:r>
        <w:rPr>
          <w:rFonts w:hint="eastAsia" w:ascii="仿宋" w:hAnsi="仿宋" w:eastAsia="仿宋" w:cs="仿宋_GB2312"/>
          <w:sz w:val="32"/>
          <w:szCs w:val="32"/>
        </w:rPr>
        <w:t>万元，本年收入</w:t>
      </w:r>
      <w:r>
        <w:rPr>
          <w:rFonts w:ascii="仿宋" w:hAnsi="仿宋" w:eastAsia="仿宋" w:cs="仿宋_GB2312"/>
          <w:sz w:val="32"/>
          <w:szCs w:val="32"/>
        </w:rPr>
        <w:t>6017</w:t>
      </w:r>
      <w:r>
        <w:rPr>
          <w:rFonts w:hint="eastAsia" w:ascii="仿宋" w:hAnsi="仿宋" w:eastAsia="仿宋" w:cs="仿宋_GB2312"/>
          <w:sz w:val="32"/>
          <w:szCs w:val="32"/>
        </w:rPr>
        <w:t>.</w:t>
      </w:r>
      <w:r>
        <w:rPr>
          <w:rFonts w:ascii="仿宋" w:hAnsi="仿宋" w:eastAsia="仿宋" w:cs="仿宋_GB2312"/>
          <w:sz w:val="32"/>
          <w:szCs w:val="32"/>
        </w:rPr>
        <w:t>97</w:t>
      </w:r>
      <w:r>
        <w:rPr>
          <w:rFonts w:hint="eastAsia" w:ascii="仿宋" w:hAnsi="仿宋" w:eastAsia="仿宋" w:cs="仿宋_GB2312"/>
          <w:sz w:val="32"/>
          <w:szCs w:val="32"/>
        </w:rPr>
        <w:t>万元；本年支出</w:t>
      </w:r>
      <w:r>
        <w:rPr>
          <w:rFonts w:ascii="仿宋" w:hAnsi="仿宋" w:eastAsia="仿宋" w:cs="仿宋_GB2312"/>
          <w:sz w:val="32"/>
          <w:szCs w:val="32"/>
        </w:rPr>
        <w:t>5931</w:t>
      </w:r>
      <w:r>
        <w:rPr>
          <w:rFonts w:hint="eastAsia" w:ascii="仿宋" w:hAnsi="仿宋" w:eastAsia="仿宋" w:cs="仿宋_GB2312"/>
          <w:sz w:val="32"/>
          <w:szCs w:val="32"/>
        </w:rPr>
        <w:t>.</w:t>
      </w:r>
      <w:r>
        <w:rPr>
          <w:rFonts w:ascii="仿宋" w:hAnsi="仿宋" w:eastAsia="仿宋" w:cs="仿宋_GB2312"/>
          <w:sz w:val="32"/>
          <w:szCs w:val="32"/>
        </w:rPr>
        <w:t>92</w:t>
      </w:r>
      <w:r>
        <w:rPr>
          <w:rFonts w:hint="eastAsia" w:ascii="仿宋" w:hAnsi="仿宋" w:eastAsia="仿宋" w:cs="仿宋_GB2312"/>
          <w:sz w:val="32"/>
          <w:szCs w:val="32"/>
        </w:rPr>
        <w:t>万元，年末结转和结余</w:t>
      </w:r>
      <w:r>
        <w:rPr>
          <w:rFonts w:ascii="仿宋" w:hAnsi="仿宋" w:eastAsia="仿宋" w:cs="仿宋_GB2312"/>
          <w:sz w:val="32"/>
          <w:szCs w:val="32"/>
        </w:rPr>
        <w:t>511</w:t>
      </w:r>
      <w:r>
        <w:rPr>
          <w:rFonts w:hint="eastAsia" w:ascii="仿宋" w:hAnsi="仿宋" w:eastAsia="仿宋" w:cs="仿宋_GB2312"/>
          <w:sz w:val="32"/>
          <w:szCs w:val="32"/>
        </w:rPr>
        <w:t>.</w:t>
      </w:r>
      <w:r>
        <w:rPr>
          <w:rFonts w:ascii="仿宋" w:hAnsi="仿宋" w:eastAsia="仿宋" w:cs="仿宋_GB2312"/>
          <w:sz w:val="32"/>
          <w:szCs w:val="32"/>
        </w:rPr>
        <w:t>39</w:t>
      </w:r>
      <w:r>
        <w:rPr>
          <w:rFonts w:hint="eastAsia" w:ascii="仿宋" w:hAnsi="仿宋" w:eastAsia="仿宋" w:cs="仿宋_GB2312"/>
          <w:sz w:val="32"/>
          <w:szCs w:val="32"/>
        </w:rPr>
        <w:t>万元。</w:t>
      </w:r>
      <w:r>
        <w:rPr>
          <w:rFonts w:hint="eastAsia" w:ascii="仿宋" w:hAnsi="仿宋" w:eastAsia="仿宋" w:cs="仿宋"/>
          <w:sz w:val="32"/>
          <w:szCs w:val="32"/>
        </w:rPr>
        <w:t>与</w:t>
      </w:r>
      <w:r>
        <w:rPr>
          <w:rFonts w:ascii="仿宋" w:hAnsi="仿宋" w:eastAsia="仿宋" w:cs="仿宋"/>
          <w:sz w:val="32"/>
          <w:szCs w:val="32"/>
        </w:rPr>
        <w:t>201</w:t>
      </w:r>
      <w:r>
        <w:rPr>
          <w:rFonts w:hint="eastAsia" w:ascii="仿宋" w:hAnsi="仿宋" w:eastAsia="仿宋" w:cs="仿宋"/>
          <w:sz w:val="32"/>
          <w:szCs w:val="32"/>
        </w:rPr>
        <w:t>6年度决算相比，本年收入增加48.87万元，增长0.82%，主要是增加项目资金；本年支出减少1231.08万元，降低17.19%，主要是有未完工项目。</w:t>
      </w:r>
    </w:p>
    <w:p>
      <w:pPr>
        <w:spacing w:line="600" w:lineRule="exact"/>
        <w:ind w:firstLine="729"/>
        <w:rPr>
          <w:rFonts w:ascii="楷体" w:hAnsi="楷体" w:eastAsia="楷体" w:cs="仿宋_GB2312"/>
          <w:b/>
          <w:sz w:val="32"/>
          <w:szCs w:val="32"/>
        </w:rPr>
      </w:pPr>
      <w:r>
        <w:rPr>
          <w:rFonts w:hint="eastAsia" w:ascii="楷体" w:hAnsi="楷体" w:eastAsia="楷体" w:cs="仿宋_GB2312"/>
          <w:b/>
          <w:sz w:val="32"/>
          <w:szCs w:val="32"/>
        </w:rPr>
        <w:t>二、收入决算情况说明</w:t>
      </w:r>
    </w:p>
    <w:p>
      <w:pPr>
        <w:spacing w:line="600" w:lineRule="exact"/>
        <w:ind w:firstLine="570"/>
        <w:rPr>
          <w:rFonts w:ascii="仿宋" w:hAnsi="仿宋" w:eastAsia="仿宋" w:cs="仿宋_GB2312"/>
          <w:sz w:val="32"/>
          <w:szCs w:val="32"/>
        </w:rPr>
      </w:pPr>
      <w:r>
        <w:rPr>
          <w:rFonts w:hint="eastAsia" w:ascii="仿宋" w:hAnsi="仿宋" w:eastAsia="仿宋"/>
          <w:sz w:val="32"/>
          <w:szCs w:val="32"/>
        </w:rPr>
        <w:t>本</w:t>
      </w:r>
      <w:r>
        <w:rPr>
          <w:rFonts w:hint="eastAsia" w:ascii="仿宋" w:hAnsi="仿宋" w:eastAsia="仿宋" w:cs="仿宋_GB2312"/>
          <w:sz w:val="32"/>
          <w:szCs w:val="32"/>
        </w:rPr>
        <w:t>部门</w:t>
      </w:r>
      <w:r>
        <w:rPr>
          <w:rFonts w:ascii="仿宋" w:hAnsi="仿宋" w:eastAsia="仿宋" w:cs="仿宋_GB2312"/>
          <w:sz w:val="32"/>
          <w:szCs w:val="32"/>
        </w:rPr>
        <w:t>201</w:t>
      </w:r>
      <w:r>
        <w:rPr>
          <w:rFonts w:hint="eastAsia" w:ascii="仿宋" w:hAnsi="仿宋" w:eastAsia="仿宋" w:cs="仿宋_GB2312"/>
          <w:sz w:val="32"/>
          <w:szCs w:val="32"/>
        </w:rPr>
        <w:t>7年度本年收入合计6017.97万元，其中：财政拨款收入6017.97万元</w:t>
      </w:r>
      <w:r>
        <w:rPr>
          <w:rFonts w:hint="eastAsia" w:ascii="仿宋" w:hAnsi="仿宋" w:eastAsia="仿宋" w:cs="仿宋"/>
          <w:sz w:val="32"/>
          <w:szCs w:val="32"/>
        </w:rPr>
        <w:t>，占100%。</w:t>
      </w:r>
    </w:p>
    <w:p>
      <w:pPr>
        <w:spacing w:line="600" w:lineRule="exact"/>
        <w:ind w:firstLine="729"/>
        <w:rPr>
          <w:rFonts w:ascii="楷体" w:hAnsi="楷体" w:eastAsia="楷体" w:cs="仿宋_GB2312"/>
          <w:b/>
          <w:sz w:val="32"/>
          <w:szCs w:val="32"/>
        </w:rPr>
      </w:pPr>
      <w:r>
        <w:rPr>
          <w:rFonts w:hint="eastAsia" w:ascii="楷体" w:hAnsi="楷体" w:eastAsia="楷体" w:cs="仿宋_GB2312"/>
          <w:b/>
          <w:sz w:val="32"/>
          <w:szCs w:val="32"/>
        </w:rPr>
        <w:t>三、支出决算情况说明</w:t>
      </w:r>
    </w:p>
    <w:p>
      <w:pPr>
        <w:spacing w:line="600" w:lineRule="exact"/>
        <w:ind w:firstLine="640"/>
        <w:rPr>
          <w:rFonts w:ascii="仿宋" w:hAnsi="仿宋" w:eastAsia="仿宋" w:cs="仿宋_GB2312"/>
          <w:sz w:val="32"/>
          <w:szCs w:val="32"/>
        </w:rPr>
      </w:pPr>
      <w:r>
        <w:rPr>
          <w:rFonts w:hint="eastAsia" w:ascii="仿宋" w:hAnsi="仿宋" w:eastAsia="仿宋"/>
          <w:sz w:val="32"/>
          <w:szCs w:val="32"/>
        </w:rPr>
        <w:t>本</w:t>
      </w:r>
      <w:r>
        <w:rPr>
          <w:rFonts w:hint="eastAsia" w:ascii="仿宋" w:hAnsi="仿宋" w:eastAsia="仿宋" w:cs="仿宋_GB2312"/>
          <w:sz w:val="32"/>
          <w:szCs w:val="32"/>
        </w:rPr>
        <w:t>部门</w:t>
      </w:r>
      <w:r>
        <w:rPr>
          <w:rFonts w:ascii="仿宋" w:hAnsi="仿宋" w:eastAsia="仿宋" w:cs="仿宋_GB2312"/>
          <w:sz w:val="32"/>
          <w:szCs w:val="32"/>
        </w:rPr>
        <w:t>201</w:t>
      </w:r>
      <w:r>
        <w:rPr>
          <w:rFonts w:hint="eastAsia" w:ascii="仿宋" w:hAnsi="仿宋" w:eastAsia="仿宋" w:cs="仿宋_GB2312"/>
          <w:sz w:val="32"/>
          <w:szCs w:val="32"/>
        </w:rPr>
        <w:t>7年度本年支出合计5931.92万元，其中：基本支出600.80万元，占10.13%；项目支出5331.12万元，占89.87%。</w:t>
      </w:r>
    </w:p>
    <w:p>
      <w:pPr>
        <w:spacing w:line="600" w:lineRule="exact"/>
        <w:ind w:firstLine="729"/>
        <w:rPr>
          <w:rFonts w:ascii="楷体" w:hAnsi="楷体" w:eastAsia="楷体" w:cs="仿宋_GB2312"/>
          <w:b/>
          <w:sz w:val="32"/>
          <w:szCs w:val="32"/>
        </w:rPr>
      </w:pPr>
      <w:r>
        <w:rPr>
          <w:rFonts w:hint="eastAsia" w:ascii="楷体" w:hAnsi="楷体" w:eastAsia="楷体" w:cs="仿宋_GB2312"/>
          <w:b/>
          <w:sz w:val="32"/>
          <w:szCs w:val="32"/>
        </w:rPr>
        <w:t>四、财政拨款收入支出决算总体情况说明</w:t>
      </w:r>
    </w:p>
    <w:p>
      <w:pPr>
        <w:spacing w:line="600" w:lineRule="exact"/>
        <w:ind w:firstLine="640"/>
        <w:rPr>
          <w:rFonts w:ascii="仿宋" w:hAnsi="仿宋" w:eastAsia="仿宋"/>
          <w:b/>
          <w:bCs/>
          <w:sz w:val="32"/>
          <w:szCs w:val="32"/>
        </w:rPr>
      </w:pPr>
      <w:r>
        <w:rPr>
          <w:rFonts w:hint="eastAsia" w:ascii="仿宋" w:hAnsi="仿宋" w:eastAsia="仿宋"/>
          <w:b/>
          <w:bCs/>
          <w:sz w:val="32"/>
          <w:szCs w:val="32"/>
        </w:rPr>
        <w:t>（一）财政拨款收支与2016年度决算对比情况</w:t>
      </w:r>
    </w:p>
    <w:p>
      <w:pPr>
        <w:spacing w:line="600" w:lineRule="exact"/>
        <w:ind w:firstLine="640"/>
        <w:rPr>
          <w:rFonts w:ascii="仿宋" w:hAnsi="仿宋" w:eastAsia="仿宋" w:cs="仿宋"/>
          <w:sz w:val="32"/>
          <w:szCs w:val="32"/>
        </w:rPr>
      </w:pPr>
      <w:r>
        <w:rPr>
          <w:rFonts w:hint="eastAsia" w:ascii="仿宋" w:hAnsi="仿宋" w:eastAsia="仿宋"/>
          <w:sz w:val="32"/>
          <w:szCs w:val="32"/>
        </w:rPr>
        <w:t>本</w:t>
      </w:r>
      <w:r>
        <w:rPr>
          <w:rFonts w:hint="eastAsia" w:ascii="仿宋" w:hAnsi="仿宋" w:eastAsia="仿宋" w:cs="仿宋_GB2312"/>
          <w:sz w:val="32"/>
          <w:szCs w:val="32"/>
        </w:rPr>
        <w:t>部门</w:t>
      </w:r>
      <w:r>
        <w:rPr>
          <w:rFonts w:ascii="仿宋" w:hAnsi="仿宋" w:eastAsia="仿宋" w:cs="仿宋_GB2312"/>
          <w:sz w:val="32"/>
          <w:szCs w:val="32"/>
        </w:rPr>
        <w:t>201</w:t>
      </w:r>
      <w:r>
        <w:rPr>
          <w:rFonts w:hint="eastAsia" w:ascii="仿宋" w:hAnsi="仿宋" w:eastAsia="仿宋" w:cs="仿宋_GB2312"/>
          <w:sz w:val="32"/>
          <w:szCs w:val="32"/>
        </w:rPr>
        <w:t>7年度财政拨款年初结转和结余425.34万元、本年收入6017.97万元；本年支出5931.92万元、年末结转和结余511.39万元。</w:t>
      </w:r>
      <w:r>
        <w:rPr>
          <w:rFonts w:hint="eastAsia" w:ascii="仿宋" w:hAnsi="仿宋" w:eastAsia="仿宋" w:cs="仿宋"/>
          <w:sz w:val="32"/>
          <w:szCs w:val="32"/>
        </w:rPr>
        <w:t>与</w:t>
      </w:r>
      <w:r>
        <w:rPr>
          <w:rFonts w:ascii="仿宋" w:hAnsi="仿宋" w:eastAsia="仿宋" w:cs="仿宋"/>
          <w:sz w:val="32"/>
          <w:szCs w:val="32"/>
        </w:rPr>
        <w:t>201</w:t>
      </w:r>
      <w:r>
        <w:rPr>
          <w:rFonts w:hint="eastAsia" w:ascii="仿宋" w:hAnsi="仿宋" w:eastAsia="仿宋" w:cs="仿宋"/>
          <w:sz w:val="32"/>
          <w:szCs w:val="32"/>
        </w:rPr>
        <w:t>6年度决算相比</w:t>
      </w:r>
      <w:r>
        <w:rPr>
          <w:rFonts w:hint="eastAsia" w:ascii="仿宋" w:hAnsi="仿宋" w:eastAsia="仿宋" w:cs="仿宋_GB2312"/>
          <w:sz w:val="32"/>
          <w:szCs w:val="32"/>
        </w:rPr>
        <w:t>，财政拨款本年收入</w:t>
      </w:r>
      <w:r>
        <w:rPr>
          <w:rFonts w:hint="eastAsia" w:ascii="仿宋" w:hAnsi="仿宋" w:eastAsia="仿宋" w:cs="仿宋"/>
          <w:sz w:val="32"/>
          <w:szCs w:val="32"/>
        </w:rPr>
        <w:t>增加48.87万元，增长0.82%，主要原因是增加项目资金</w:t>
      </w:r>
      <w:r>
        <w:rPr>
          <w:rFonts w:hint="eastAsia" w:ascii="仿宋" w:hAnsi="仿宋" w:eastAsia="仿宋" w:cs="仿宋_GB2312"/>
          <w:sz w:val="32"/>
          <w:szCs w:val="32"/>
        </w:rPr>
        <w:t>；本年支出</w:t>
      </w:r>
      <w:r>
        <w:rPr>
          <w:rFonts w:hint="eastAsia" w:ascii="仿宋" w:hAnsi="仿宋" w:eastAsia="仿宋" w:cs="仿宋"/>
          <w:sz w:val="32"/>
          <w:szCs w:val="32"/>
        </w:rPr>
        <w:t>减少1231.08万元，降低17.19%，主要是有未完工项目。</w:t>
      </w:r>
    </w:p>
    <w:p>
      <w:pPr>
        <w:spacing w:line="600" w:lineRule="exact"/>
        <w:ind w:firstLine="640"/>
        <w:rPr>
          <w:rFonts w:ascii="仿宋" w:hAnsi="仿宋" w:eastAsia="仿宋" w:cs="仿宋"/>
          <w:sz w:val="32"/>
          <w:szCs w:val="32"/>
        </w:rPr>
      </w:pPr>
      <w:r>
        <w:rPr>
          <w:rFonts w:hint="eastAsia" w:ascii="仿宋" w:hAnsi="仿宋" w:eastAsia="仿宋" w:cs="仿宋_GB2312"/>
          <w:sz w:val="32"/>
          <w:szCs w:val="32"/>
        </w:rPr>
        <w:t>其中，一般公共预算财政拨款年初结转和结余425.34万元、本年收入5455.97万元，本年支出5369.92万元、年末结转和结余511.39万元。</w:t>
      </w:r>
      <w:r>
        <w:rPr>
          <w:rFonts w:hint="eastAsia" w:ascii="仿宋" w:hAnsi="仿宋" w:eastAsia="仿宋" w:cs="仿宋"/>
          <w:sz w:val="32"/>
          <w:szCs w:val="32"/>
        </w:rPr>
        <w:t>与</w:t>
      </w:r>
      <w:r>
        <w:rPr>
          <w:rFonts w:ascii="仿宋" w:hAnsi="仿宋" w:eastAsia="仿宋" w:cs="仿宋"/>
          <w:sz w:val="32"/>
          <w:szCs w:val="32"/>
        </w:rPr>
        <w:t>201</w:t>
      </w:r>
      <w:r>
        <w:rPr>
          <w:rFonts w:hint="eastAsia" w:ascii="仿宋" w:hAnsi="仿宋" w:eastAsia="仿宋" w:cs="仿宋"/>
          <w:sz w:val="32"/>
          <w:szCs w:val="32"/>
        </w:rPr>
        <w:t>6年度决算相比</w:t>
      </w:r>
      <w:r>
        <w:rPr>
          <w:rFonts w:hint="eastAsia" w:ascii="仿宋" w:hAnsi="仿宋" w:eastAsia="仿宋" w:cs="仿宋_GB2312"/>
          <w:sz w:val="32"/>
          <w:szCs w:val="32"/>
        </w:rPr>
        <w:t>，一般公共预算财政拨款本年收入</w:t>
      </w:r>
      <w:r>
        <w:rPr>
          <w:rFonts w:hint="eastAsia" w:ascii="仿宋" w:hAnsi="仿宋" w:eastAsia="仿宋" w:cs="仿宋"/>
          <w:sz w:val="32"/>
          <w:szCs w:val="32"/>
        </w:rPr>
        <w:t>减少213.13万元，降低3.76%，主要原因是无新增项目资金</w:t>
      </w:r>
      <w:r>
        <w:rPr>
          <w:rFonts w:hint="eastAsia" w:ascii="仿宋" w:hAnsi="仿宋" w:eastAsia="仿宋" w:cs="仿宋_GB2312"/>
          <w:sz w:val="32"/>
          <w:szCs w:val="32"/>
        </w:rPr>
        <w:t>；本年支出</w:t>
      </w:r>
      <w:r>
        <w:rPr>
          <w:rFonts w:hint="eastAsia" w:ascii="仿宋" w:hAnsi="仿宋" w:eastAsia="仿宋" w:cs="仿宋"/>
          <w:sz w:val="32"/>
          <w:szCs w:val="32"/>
        </w:rPr>
        <w:t>减少1493.08万元，降低21.76%，主要原因是无新增项目。</w:t>
      </w:r>
    </w:p>
    <w:p>
      <w:pPr>
        <w:spacing w:line="600" w:lineRule="exact"/>
        <w:ind w:firstLine="640"/>
        <w:rPr>
          <w:rFonts w:ascii="仿宋" w:hAnsi="仿宋" w:eastAsia="仿宋" w:cs="仿宋"/>
          <w:sz w:val="32"/>
          <w:szCs w:val="32"/>
        </w:rPr>
      </w:pPr>
      <w:r>
        <w:rPr>
          <w:rFonts w:hint="eastAsia" w:ascii="仿宋" w:hAnsi="仿宋" w:eastAsia="仿宋" w:cs="仿宋_GB2312"/>
          <w:sz w:val="32"/>
          <w:szCs w:val="32"/>
        </w:rPr>
        <w:t>政府性基金预算财政拨款年初结转和结余0万元、本年收入562.00万元；本年支出562.00万元、年末结转和结余0万元。</w:t>
      </w:r>
      <w:r>
        <w:rPr>
          <w:rFonts w:hint="eastAsia" w:ascii="仿宋" w:hAnsi="仿宋" w:eastAsia="仿宋" w:cs="仿宋"/>
          <w:sz w:val="32"/>
          <w:szCs w:val="32"/>
        </w:rPr>
        <w:t>与</w:t>
      </w:r>
      <w:r>
        <w:rPr>
          <w:rFonts w:ascii="仿宋" w:hAnsi="仿宋" w:eastAsia="仿宋" w:cs="仿宋"/>
          <w:sz w:val="32"/>
          <w:szCs w:val="32"/>
        </w:rPr>
        <w:t>201</w:t>
      </w:r>
      <w:r>
        <w:rPr>
          <w:rFonts w:hint="eastAsia" w:ascii="仿宋" w:hAnsi="仿宋" w:eastAsia="仿宋" w:cs="仿宋"/>
          <w:sz w:val="32"/>
          <w:szCs w:val="32"/>
        </w:rPr>
        <w:t>6年度决算相比，</w:t>
      </w:r>
      <w:r>
        <w:rPr>
          <w:rFonts w:hint="eastAsia" w:ascii="仿宋" w:hAnsi="仿宋" w:eastAsia="仿宋" w:cs="仿宋_GB2312"/>
          <w:sz w:val="32"/>
          <w:szCs w:val="32"/>
        </w:rPr>
        <w:t>政府性基金预算财政拨款本年收入</w:t>
      </w:r>
      <w:r>
        <w:rPr>
          <w:rFonts w:hint="eastAsia" w:ascii="仿宋" w:hAnsi="仿宋" w:eastAsia="仿宋" w:cs="仿宋"/>
          <w:sz w:val="32"/>
          <w:szCs w:val="32"/>
        </w:rPr>
        <w:t>增加262.00万元，增长87.33%，</w:t>
      </w:r>
      <w:r>
        <w:rPr>
          <w:rFonts w:hint="eastAsia" w:ascii="仿宋" w:hAnsi="仿宋" w:eastAsia="仿宋" w:cs="仿宋_GB2312"/>
          <w:sz w:val="32"/>
          <w:szCs w:val="32"/>
        </w:rPr>
        <w:t>本年支出</w:t>
      </w:r>
      <w:r>
        <w:rPr>
          <w:rFonts w:hint="eastAsia" w:ascii="仿宋" w:hAnsi="仿宋" w:eastAsia="仿宋" w:cs="仿宋"/>
          <w:sz w:val="32"/>
          <w:szCs w:val="32"/>
        </w:rPr>
        <w:t>增加262.00万元，增长87.33%，主要原因是污水处理厂收入增加。</w:t>
      </w:r>
    </w:p>
    <w:p>
      <w:pPr>
        <w:spacing w:line="600" w:lineRule="exact"/>
        <w:ind w:firstLine="640"/>
        <w:rPr>
          <w:rFonts w:ascii="仿宋" w:hAnsi="仿宋" w:eastAsia="仿宋"/>
          <w:b/>
          <w:bCs/>
          <w:sz w:val="32"/>
          <w:szCs w:val="32"/>
        </w:rPr>
      </w:pPr>
      <w:r>
        <w:rPr>
          <w:rFonts w:hint="eastAsia" w:ascii="仿宋" w:hAnsi="仿宋" w:eastAsia="仿宋" w:cs="仿宋"/>
          <w:b/>
          <w:bCs/>
          <w:sz w:val="32"/>
          <w:szCs w:val="32"/>
        </w:rPr>
        <w:t>（二）</w:t>
      </w:r>
      <w:r>
        <w:rPr>
          <w:rFonts w:hint="eastAsia" w:ascii="仿宋" w:hAnsi="仿宋" w:eastAsia="仿宋"/>
          <w:b/>
          <w:bCs/>
          <w:sz w:val="32"/>
          <w:szCs w:val="32"/>
        </w:rPr>
        <w:t>财政拨款收支与年初预算数对比情况</w:t>
      </w:r>
    </w:p>
    <w:p>
      <w:pPr>
        <w:spacing w:line="600" w:lineRule="exact"/>
        <w:ind w:firstLine="640"/>
        <w:rPr>
          <w:rFonts w:ascii="仿宋" w:hAnsi="仿宋" w:eastAsia="仿宋" w:cs="仿宋"/>
          <w:sz w:val="32"/>
          <w:szCs w:val="32"/>
        </w:rPr>
      </w:pPr>
      <w:r>
        <w:rPr>
          <w:rFonts w:hint="eastAsia" w:ascii="仿宋" w:hAnsi="仿宋" w:eastAsia="仿宋"/>
          <w:sz w:val="32"/>
          <w:szCs w:val="32"/>
        </w:rPr>
        <w:t>本</w:t>
      </w:r>
      <w:r>
        <w:rPr>
          <w:rFonts w:hint="eastAsia" w:ascii="仿宋" w:hAnsi="仿宋" w:eastAsia="仿宋" w:cs="仿宋_GB2312"/>
          <w:sz w:val="32"/>
          <w:szCs w:val="32"/>
        </w:rPr>
        <w:t>部门</w:t>
      </w:r>
      <w:r>
        <w:rPr>
          <w:rFonts w:ascii="仿宋" w:hAnsi="仿宋" w:eastAsia="仿宋" w:cs="仿宋_GB2312"/>
          <w:sz w:val="32"/>
          <w:szCs w:val="32"/>
        </w:rPr>
        <w:t>201</w:t>
      </w:r>
      <w:r>
        <w:rPr>
          <w:rFonts w:hint="eastAsia" w:ascii="仿宋" w:hAnsi="仿宋" w:eastAsia="仿宋" w:cs="仿宋_GB2312"/>
          <w:sz w:val="32"/>
          <w:szCs w:val="32"/>
        </w:rPr>
        <w:t>7年度财政拨款本年收入</w:t>
      </w:r>
      <w:r>
        <w:rPr>
          <w:rFonts w:hint="eastAsia" w:ascii="仿宋" w:hAnsi="仿宋" w:eastAsia="仿宋" w:cs="仿宋"/>
          <w:sz w:val="32"/>
          <w:szCs w:val="32"/>
        </w:rPr>
        <w:t>较</w:t>
      </w:r>
      <w:r>
        <w:rPr>
          <w:rFonts w:ascii="仿宋" w:hAnsi="仿宋" w:eastAsia="仿宋" w:cs="仿宋"/>
          <w:sz w:val="32"/>
          <w:szCs w:val="32"/>
        </w:rPr>
        <w:t>201</w:t>
      </w:r>
      <w:r>
        <w:rPr>
          <w:rFonts w:hint="eastAsia" w:ascii="仿宋" w:hAnsi="仿宋" w:eastAsia="仿宋" w:cs="仿宋"/>
          <w:sz w:val="32"/>
          <w:szCs w:val="32"/>
        </w:rPr>
        <w:t>7年初预算增加3092.34万元，增长105.70%，主要原因是增加项目资金；本年支出增加1299.86万元，增长28.06%。主要原因是完成上年未完工项目。</w:t>
      </w:r>
    </w:p>
    <w:p>
      <w:pPr>
        <w:spacing w:line="600" w:lineRule="exact"/>
        <w:ind w:firstLine="640"/>
        <w:rPr>
          <w:rFonts w:ascii="仿宋" w:hAnsi="仿宋" w:eastAsia="仿宋" w:cs="仿宋"/>
          <w:sz w:val="32"/>
          <w:szCs w:val="32"/>
        </w:rPr>
      </w:pPr>
      <w:r>
        <w:rPr>
          <w:rFonts w:hint="eastAsia" w:ascii="仿宋" w:hAnsi="仿宋" w:eastAsia="仿宋"/>
          <w:sz w:val="32"/>
          <w:szCs w:val="32"/>
        </w:rPr>
        <w:t>其中，本</w:t>
      </w:r>
      <w:r>
        <w:rPr>
          <w:rFonts w:hint="eastAsia" w:ascii="仿宋" w:hAnsi="仿宋" w:eastAsia="仿宋" w:cs="仿宋_GB2312"/>
          <w:sz w:val="32"/>
          <w:szCs w:val="32"/>
        </w:rPr>
        <w:t>部门</w:t>
      </w:r>
      <w:r>
        <w:rPr>
          <w:rFonts w:ascii="仿宋" w:hAnsi="仿宋" w:eastAsia="仿宋" w:cs="仿宋_GB2312"/>
          <w:sz w:val="32"/>
          <w:szCs w:val="32"/>
        </w:rPr>
        <w:t>201</w:t>
      </w:r>
      <w:r>
        <w:rPr>
          <w:rFonts w:hint="eastAsia" w:ascii="仿宋" w:hAnsi="仿宋" w:eastAsia="仿宋" w:cs="仿宋_GB2312"/>
          <w:sz w:val="32"/>
          <w:szCs w:val="32"/>
        </w:rPr>
        <w:t>7年度一般公共预算财政拨款本年收入</w:t>
      </w:r>
      <w:r>
        <w:rPr>
          <w:rFonts w:hint="eastAsia" w:ascii="仿宋" w:hAnsi="仿宋" w:eastAsia="仿宋" w:cs="仿宋"/>
          <w:sz w:val="32"/>
          <w:szCs w:val="32"/>
        </w:rPr>
        <w:t>较</w:t>
      </w:r>
      <w:r>
        <w:rPr>
          <w:rFonts w:ascii="仿宋" w:hAnsi="仿宋" w:eastAsia="仿宋" w:cs="仿宋"/>
          <w:sz w:val="32"/>
          <w:szCs w:val="32"/>
        </w:rPr>
        <w:t>201</w:t>
      </w:r>
      <w:r>
        <w:rPr>
          <w:rFonts w:hint="eastAsia" w:ascii="仿宋" w:hAnsi="仿宋" w:eastAsia="仿宋" w:cs="仿宋"/>
          <w:sz w:val="32"/>
          <w:szCs w:val="32"/>
        </w:rPr>
        <w:t>7年初预算增加3092.34万元，增长86.49%，主要原因是增加项目资金；本年支出增加737.86万元，增长15.93%。主要原因是完成上年未完工项目。</w:t>
      </w:r>
    </w:p>
    <w:p>
      <w:pPr>
        <w:spacing w:line="600" w:lineRule="exact"/>
        <w:ind w:firstLine="640"/>
        <w:rPr>
          <w:rFonts w:ascii="仿宋" w:hAnsi="仿宋" w:eastAsia="仿宋" w:cs="仿宋"/>
          <w:sz w:val="32"/>
          <w:szCs w:val="32"/>
        </w:rPr>
      </w:pPr>
      <w:r>
        <w:rPr>
          <w:rFonts w:hint="eastAsia" w:ascii="仿宋" w:hAnsi="仿宋" w:eastAsia="仿宋"/>
          <w:sz w:val="32"/>
          <w:szCs w:val="32"/>
        </w:rPr>
        <w:t>本</w:t>
      </w:r>
      <w:r>
        <w:rPr>
          <w:rFonts w:hint="eastAsia" w:ascii="仿宋" w:hAnsi="仿宋" w:eastAsia="仿宋" w:cs="仿宋_GB2312"/>
          <w:sz w:val="32"/>
          <w:szCs w:val="32"/>
        </w:rPr>
        <w:t>部门</w:t>
      </w:r>
      <w:r>
        <w:rPr>
          <w:rFonts w:ascii="仿宋" w:hAnsi="仿宋" w:eastAsia="仿宋" w:cs="仿宋_GB2312"/>
          <w:sz w:val="32"/>
          <w:szCs w:val="32"/>
        </w:rPr>
        <w:t>201</w:t>
      </w:r>
      <w:r>
        <w:rPr>
          <w:rFonts w:hint="eastAsia" w:ascii="仿宋" w:hAnsi="仿宋" w:eastAsia="仿宋" w:cs="仿宋_GB2312"/>
          <w:sz w:val="32"/>
          <w:szCs w:val="32"/>
        </w:rPr>
        <w:t>7年度政府性基金预算财政拨款</w:t>
      </w:r>
      <w:r>
        <w:rPr>
          <w:rFonts w:hint="eastAsia" w:ascii="仿宋" w:hAnsi="仿宋" w:eastAsia="仿宋" w:cs="仿宋"/>
          <w:sz w:val="32"/>
          <w:szCs w:val="32"/>
        </w:rPr>
        <w:t>较</w:t>
      </w:r>
      <w:r>
        <w:rPr>
          <w:rFonts w:ascii="仿宋" w:hAnsi="仿宋" w:eastAsia="仿宋" w:cs="仿宋"/>
          <w:sz w:val="32"/>
          <w:szCs w:val="32"/>
        </w:rPr>
        <w:t>201</w:t>
      </w:r>
      <w:r>
        <w:rPr>
          <w:rFonts w:hint="eastAsia" w:ascii="仿宋" w:hAnsi="仿宋" w:eastAsia="仿宋" w:cs="仿宋"/>
          <w:sz w:val="32"/>
          <w:szCs w:val="32"/>
        </w:rPr>
        <w:t>7年初预算增加562万元，增长100%，主要原因是污水处理厂收入增加。本年支出增加562万元，增长100%。主要原因是污水处理厂收入增加。</w:t>
      </w:r>
    </w:p>
    <w:p>
      <w:pPr>
        <w:pBdr>
          <w:top w:val="none" w:color="000000" w:sz="0" w:space="3"/>
          <w:left w:val="none" w:color="000000" w:sz="0" w:space="3"/>
          <w:bottom w:val="none" w:color="000000" w:sz="0" w:space="3"/>
          <w:right w:val="none" w:color="000000" w:sz="0" w:space="3"/>
        </w:pBdr>
        <w:shd w:val="clear" w:color="000000" w:fill="FFFFFF"/>
        <w:spacing w:line="600" w:lineRule="exact"/>
        <w:ind w:firstLine="720"/>
        <w:rPr>
          <w:rFonts w:ascii="楷体" w:hAnsi="楷体" w:eastAsia="楷体"/>
          <w:b/>
          <w:sz w:val="32"/>
          <w:szCs w:val="32"/>
        </w:rPr>
      </w:pPr>
      <w:r>
        <w:rPr>
          <w:rFonts w:hint="eastAsia" w:ascii="楷体" w:hAnsi="楷体" w:eastAsia="楷体"/>
          <w:b/>
          <w:sz w:val="32"/>
          <w:szCs w:val="32"/>
        </w:rPr>
        <w:t>五、一般公共预算财政拨款“三公”经费支出决算情况说明</w:t>
      </w:r>
    </w:p>
    <w:p>
      <w:pPr>
        <w:pBdr>
          <w:top w:val="none" w:color="000000" w:sz="0" w:space="3"/>
          <w:left w:val="none" w:color="000000" w:sz="0" w:space="3"/>
          <w:bottom w:val="none" w:color="000000" w:sz="0" w:space="3"/>
          <w:right w:val="none" w:color="000000" w:sz="0" w:space="3"/>
        </w:pBdr>
        <w:shd w:val="clear" w:color="000000" w:fill="FFFFFF"/>
        <w:spacing w:line="600" w:lineRule="exact"/>
        <w:ind w:firstLine="560"/>
        <w:rPr>
          <w:rFonts w:ascii="仿宋" w:hAnsi="仿宋" w:eastAsia="仿宋"/>
          <w:sz w:val="32"/>
          <w:szCs w:val="32"/>
        </w:rPr>
      </w:pPr>
      <w:r>
        <w:rPr>
          <w:rFonts w:hint="eastAsia" w:ascii="仿宋" w:hAnsi="仿宋" w:eastAsia="仿宋"/>
          <w:sz w:val="32"/>
          <w:szCs w:val="32"/>
        </w:rPr>
        <w:t>本部门2017年度一般公共预算财政拨款“三公”经费支出共计6.31万元，较年初预算数减少1.63万元，降低20.53%，主要原因是厉行节约；较2016年度决算增加0.01万元，增长0.16%，原因是接待上级督导。具体情况如下：</w:t>
      </w:r>
    </w:p>
    <w:p>
      <w:pPr>
        <w:widowControl/>
        <w:spacing w:line="540" w:lineRule="exact"/>
        <w:ind w:firstLine="640"/>
        <w:jc w:val="left"/>
        <w:rPr>
          <w:rFonts w:ascii="仿宋" w:hAnsi="仿宋" w:eastAsia="仿宋"/>
          <w:sz w:val="32"/>
          <w:szCs w:val="32"/>
        </w:rPr>
      </w:pPr>
      <w:r>
        <w:rPr>
          <w:rFonts w:hint="eastAsia" w:ascii="仿宋" w:hAnsi="仿宋" w:eastAsia="仿宋"/>
          <w:b/>
          <w:bCs/>
          <w:sz w:val="32"/>
          <w:szCs w:val="32"/>
        </w:rPr>
        <w:t>（一）因公出国（境）费支出0万元。</w:t>
      </w:r>
      <w:r>
        <w:rPr>
          <w:rFonts w:hint="eastAsia" w:ascii="仿宋" w:hAnsi="仿宋" w:eastAsia="仿宋"/>
          <w:sz w:val="32"/>
          <w:szCs w:val="32"/>
        </w:rPr>
        <w:t>较2016年度决算无增减变化；</w:t>
      </w:r>
    </w:p>
    <w:p>
      <w:pPr>
        <w:widowControl/>
        <w:spacing w:line="540" w:lineRule="exact"/>
        <w:ind w:firstLine="640"/>
        <w:jc w:val="left"/>
        <w:rPr>
          <w:rFonts w:ascii="仿宋" w:hAnsi="仿宋" w:eastAsia="仿宋" w:cs="宋体"/>
          <w:color w:val="484747"/>
          <w:sz w:val="32"/>
          <w:szCs w:val="32"/>
        </w:rPr>
      </w:pPr>
      <w:r>
        <w:rPr>
          <w:rFonts w:hint="eastAsia" w:ascii="仿宋" w:hAnsi="仿宋" w:eastAsia="仿宋"/>
          <w:b/>
          <w:bCs/>
          <w:sz w:val="32"/>
          <w:szCs w:val="32"/>
        </w:rPr>
        <w:t>（二）</w:t>
      </w:r>
      <w:r>
        <w:rPr>
          <w:rFonts w:hint="eastAsia" w:ascii="仿宋" w:hAnsi="仿宋" w:eastAsia="仿宋" w:cs="宋体"/>
          <w:b/>
          <w:bCs/>
          <w:color w:val="484747"/>
          <w:sz w:val="32"/>
          <w:szCs w:val="32"/>
        </w:rPr>
        <w:t>公务用车购置及运行维护费支出5.88万元。其中：</w:t>
      </w:r>
    </w:p>
    <w:p>
      <w:pPr>
        <w:widowControl/>
        <w:spacing w:line="540" w:lineRule="exact"/>
        <w:ind w:firstLine="640"/>
        <w:jc w:val="left"/>
        <w:rPr>
          <w:rFonts w:ascii="仿宋" w:hAnsi="仿宋" w:eastAsia="仿宋"/>
          <w:sz w:val="32"/>
          <w:szCs w:val="32"/>
        </w:rPr>
      </w:pPr>
      <w:r>
        <w:rPr>
          <w:rFonts w:hint="eastAsia" w:ascii="仿宋" w:hAnsi="仿宋" w:eastAsia="仿宋" w:cs="宋体"/>
          <w:b/>
          <w:bCs/>
          <w:color w:val="484747"/>
          <w:sz w:val="32"/>
          <w:szCs w:val="32"/>
        </w:rPr>
        <w:t>公务用车购置支出0万元，</w:t>
      </w:r>
      <w:r>
        <w:rPr>
          <w:rFonts w:hint="eastAsia" w:ascii="仿宋" w:hAnsi="仿宋" w:eastAsia="仿宋"/>
          <w:sz w:val="32"/>
          <w:szCs w:val="32"/>
        </w:rPr>
        <w:t>较2016年度决算无增减变化。</w:t>
      </w:r>
    </w:p>
    <w:p>
      <w:pPr>
        <w:widowControl/>
        <w:spacing w:line="540" w:lineRule="exact"/>
        <w:ind w:firstLine="640"/>
        <w:jc w:val="left"/>
        <w:rPr>
          <w:rFonts w:ascii="仿宋" w:hAnsi="仿宋" w:eastAsia="仿宋"/>
          <w:sz w:val="32"/>
          <w:szCs w:val="32"/>
        </w:rPr>
      </w:pPr>
      <w:r>
        <w:rPr>
          <w:rFonts w:hint="eastAsia" w:ascii="仿宋" w:hAnsi="仿宋" w:eastAsia="仿宋" w:cs="宋体"/>
          <w:b/>
          <w:bCs/>
          <w:color w:val="484747"/>
          <w:sz w:val="32"/>
          <w:szCs w:val="32"/>
        </w:rPr>
        <w:t>公车运行维护费支出5.88万元。</w:t>
      </w:r>
      <w:r>
        <w:rPr>
          <w:rFonts w:hint="eastAsia" w:ascii="仿宋" w:hAnsi="仿宋" w:eastAsia="仿宋" w:cs="宋体"/>
          <w:color w:val="484747"/>
          <w:sz w:val="32"/>
          <w:szCs w:val="32"/>
        </w:rPr>
        <w:t>本部门2017年末单位公务用车保有量3辆。公车运行维护费支出较年初预算减少1.63万元，降低</w:t>
      </w:r>
      <w:r>
        <w:rPr>
          <w:rFonts w:hint="eastAsia" w:ascii="仿宋" w:hAnsi="仿宋" w:eastAsia="仿宋"/>
          <w:sz w:val="32"/>
          <w:szCs w:val="32"/>
        </w:rPr>
        <w:t>21.70%，主要原因是厉行节约；较2016年度决算减少0.42万元，降低6.67%，原因是厉行节约。</w:t>
      </w:r>
    </w:p>
    <w:p>
      <w:pPr>
        <w:widowControl/>
        <w:spacing w:line="540" w:lineRule="exact"/>
        <w:ind w:firstLine="640"/>
        <w:jc w:val="left"/>
        <w:rPr>
          <w:rFonts w:ascii="仿宋" w:hAnsi="仿宋" w:eastAsia="仿宋"/>
          <w:sz w:val="32"/>
          <w:szCs w:val="32"/>
        </w:rPr>
      </w:pPr>
      <w:r>
        <w:rPr>
          <w:rFonts w:hint="eastAsia" w:ascii="仿宋" w:hAnsi="仿宋" w:eastAsia="仿宋"/>
          <w:b/>
          <w:bCs/>
          <w:sz w:val="32"/>
          <w:szCs w:val="32"/>
        </w:rPr>
        <w:t>（三）公务接待费支出0.43万元</w:t>
      </w:r>
      <w:r>
        <w:rPr>
          <w:rFonts w:hint="eastAsia" w:ascii="仿宋" w:hAnsi="仿宋" w:eastAsia="仿宋"/>
          <w:sz w:val="32"/>
          <w:szCs w:val="32"/>
        </w:rPr>
        <w:t>。本部门2017年度公务接待共2批次，8人次。公务接待费支出较年初预算减少0.01万元，降低2.27%；较2016年</w:t>
      </w:r>
      <w:r>
        <w:rPr>
          <w:rFonts w:ascii="仿宋" w:hAnsi="仿宋" w:eastAsia="仿宋"/>
          <w:sz w:val="32"/>
          <w:szCs w:val="32"/>
        </w:rPr>
        <w:t>增加</w:t>
      </w:r>
      <w:r>
        <w:rPr>
          <w:rFonts w:hint="eastAsia" w:ascii="仿宋" w:hAnsi="仿宋" w:eastAsia="仿宋"/>
          <w:sz w:val="32"/>
          <w:szCs w:val="32"/>
        </w:rPr>
        <w:t>0.43万元，增长100%。原因是接待上级督导。</w:t>
      </w:r>
    </w:p>
    <w:p>
      <w:pPr>
        <w:pBdr>
          <w:top w:val="none" w:color="000000" w:sz="0" w:space="3"/>
          <w:left w:val="none" w:color="000000" w:sz="0" w:space="3"/>
          <w:bottom w:val="none" w:color="000000" w:sz="0" w:space="3"/>
          <w:right w:val="none" w:color="000000" w:sz="0" w:space="3"/>
        </w:pBdr>
        <w:shd w:val="clear" w:color="000000" w:fill="FFFFFF"/>
        <w:spacing w:line="600" w:lineRule="exact"/>
        <w:ind w:firstLine="720"/>
        <w:rPr>
          <w:rFonts w:ascii="楷体" w:hAnsi="楷体" w:eastAsia="楷体" w:cs="宋体"/>
          <w:b/>
          <w:color w:val="484747"/>
          <w:sz w:val="32"/>
          <w:szCs w:val="32"/>
        </w:rPr>
      </w:pPr>
      <w:r>
        <w:rPr>
          <w:rFonts w:hint="eastAsia" w:ascii="楷体" w:hAnsi="楷体" w:eastAsia="楷体" w:cs="宋体"/>
          <w:b/>
          <w:color w:val="484747"/>
          <w:sz w:val="32"/>
          <w:szCs w:val="32"/>
        </w:rPr>
        <w:t>六、绩效预算信息</w:t>
      </w:r>
    </w:p>
    <w:p>
      <w:pPr>
        <w:pStyle w:val="8"/>
        <w:spacing w:before="0" w:beforeAutospacing="0" w:after="180" w:afterAutospacing="0" w:line="600" w:lineRule="exact"/>
        <w:ind w:left="1" w:firstLine="640"/>
        <w:rPr>
          <w:rFonts w:ascii="仿宋" w:hAnsi="仿宋" w:eastAsia="仿宋" w:cs="Times New Roman"/>
          <w:sz w:val="32"/>
          <w:szCs w:val="32"/>
        </w:rPr>
      </w:pPr>
      <w:r>
        <w:rPr>
          <w:rFonts w:hint="eastAsia" w:ascii="仿宋" w:hAnsi="仿宋" w:eastAsia="仿宋" w:cs="Times New Roman"/>
          <w:sz w:val="32"/>
          <w:szCs w:val="32"/>
        </w:rPr>
        <w:t>（一）绩效管理工作开展情况</w:t>
      </w:r>
    </w:p>
    <w:p>
      <w:pPr>
        <w:pStyle w:val="8"/>
        <w:spacing w:before="0" w:beforeAutospacing="0" w:after="180" w:afterAutospacing="0" w:line="600" w:lineRule="exact"/>
        <w:ind w:left="1" w:firstLine="640"/>
        <w:rPr>
          <w:rFonts w:ascii="仿宋" w:hAnsi="仿宋" w:eastAsia="仿宋" w:cs="Times New Roman"/>
          <w:sz w:val="32"/>
          <w:szCs w:val="32"/>
        </w:rPr>
      </w:pPr>
      <w:r>
        <w:rPr>
          <w:rFonts w:hint="eastAsia" w:ascii="仿宋" w:hAnsi="仿宋" w:eastAsia="仿宋" w:cs="Times New Roman"/>
          <w:sz w:val="32"/>
          <w:szCs w:val="32"/>
        </w:rPr>
        <w:t>2017年度，根据市财政预算绩效管理要求，廊坊市大厂回族自治县</w:t>
      </w:r>
      <w:r>
        <w:rPr>
          <w:rFonts w:hint="eastAsia" w:ascii="仿宋" w:hAnsi="仿宋" w:eastAsia="仿宋"/>
          <w:sz w:val="32"/>
          <w:szCs w:val="32"/>
        </w:rPr>
        <w:t>环境保护局</w:t>
      </w:r>
      <w:r>
        <w:rPr>
          <w:rFonts w:hint="eastAsia" w:ascii="仿宋" w:hAnsi="仿宋" w:eastAsia="仿宋" w:cs="Times New Roman"/>
          <w:sz w:val="32"/>
          <w:szCs w:val="32"/>
        </w:rPr>
        <w:t>以“部门职责-工作活动”为依据，确定部门预算项目和预算额度，清晰描述预算项目开支范围和内容，确定预算项目的绩效目标、绩效指标和评价标准，为预算绩效控制、绩效分析、绩效评价打下好的基础。</w:t>
      </w:r>
    </w:p>
    <w:p>
      <w:pPr>
        <w:pStyle w:val="8"/>
        <w:spacing w:before="0" w:beforeAutospacing="0" w:after="180" w:afterAutospacing="0" w:line="600" w:lineRule="exact"/>
        <w:ind w:left="1" w:firstLine="640"/>
        <w:rPr>
          <w:rFonts w:ascii="仿宋" w:hAnsi="仿宋" w:eastAsia="仿宋" w:cs="Times New Roman"/>
          <w:sz w:val="32"/>
          <w:szCs w:val="32"/>
        </w:rPr>
      </w:pPr>
      <w:r>
        <w:rPr>
          <w:rFonts w:hint="eastAsia" w:ascii="仿宋" w:hAnsi="仿宋" w:eastAsia="仿宋" w:cs="Times New Roman"/>
          <w:sz w:val="32"/>
          <w:szCs w:val="32"/>
        </w:rPr>
        <w:t>（二）预算项目绩效评价开展情况</w:t>
      </w:r>
    </w:p>
    <w:p>
      <w:pPr>
        <w:pStyle w:val="8"/>
        <w:numPr>
          <w:ilvl w:val="0"/>
          <w:numId w:val="2"/>
        </w:numPr>
        <w:spacing w:before="0" w:beforeAutospacing="0" w:after="180" w:afterAutospacing="0" w:line="600" w:lineRule="exact"/>
        <w:ind w:left="1361" w:hanging="720"/>
        <w:rPr>
          <w:rFonts w:ascii="仿宋" w:hAnsi="仿宋" w:eastAsia="仿宋" w:cs="Times New Roman"/>
          <w:sz w:val="32"/>
          <w:szCs w:val="32"/>
        </w:rPr>
      </w:pPr>
      <w:r>
        <w:rPr>
          <w:rFonts w:hint="eastAsia" w:ascii="仿宋" w:hAnsi="仿宋" w:eastAsia="仿宋" w:cs="Times New Roman"/>
          <w:sz w:val="32"/>
          <w:szCs w:val="32"/>
        </w:rPr>
        <w:t>抓好绩效目标编制，及时报送绩效目标。</w:t>
      </w:r>
    </w:p>
    <w:p>
      <w:pPr>
        <w:pStyle w:val="8"/>
        <w:numPr>
          <w:ilvl w:val="0"/>
          <w:numId w:val="2"/>
        </w:numPr>
        <w:spacing w:before="0" w:beforeAutospacing="0" w:after="180" w:afterAutospacing="0" w:line="600" w:lineRule="exact"/>
        <w:ind w:left="0" w:firstLine="709"/>
        <w:rPr>
          <w:rFonts w:ascii="仿宋" w:hAnsi="仿宋" w:eastAsia="仿宋"/>
          <w:sz w:val="32"/>
          <w:szCs w:val="32"/>
        </w:rPr>
      </w:pPr>
      <w:r>
        <w:rPr>
          <w:rFonts w:hint="eastAsia" w:ascii="仿宋" w:hAnsi="仿宋" w:eastAsia="仿宋" w:cs="Times New Roman"/>
          <w:sz w:val="32"/>
          <w:szCs w:val="32"/>
        </w:rPr>
        <w:t>探索绩效跟踪监控，要求加强过程监控。</w:t>
      </w:r>
    </w:p>
    <w:p>
      <w:pPr>
        <w:pStyle w:val="8"/>
        <w:numPr>
          <w:ilvl w:val="0"/>
          <w:numId w:val="2"/>
        </w:numPr>
        <w:spacing w:before="0" w:beforeAutospacing="0" w:after="180" w:afterAutospacing="0" w:line="600" w:lineRule="exact"/>
        <w:ind w:left="0" w:firstLine="709"/>
        <w:rPr>
          <w:rFonts w:ascii="仿宋" w:hAnsi="仿宋" w:eastAsia="仿宋"/>
          <w:sz w:val="32"/>
          <w:szCs w:val="32"/>
        </w:rPr>
      </w:pPr>
      <w:r>
        <w:rPr>
          <w:rFonts w:hint="eastAsia" w:ascii="仿宋" w:hAnsi="仿宋" w:eastAsia="仿宋" w:cs="Times New Roman"/>
          <w:sz w:val="32"/>
          <w:szCs w:val="32"/>
        </w:rPr>
        <w:t>深入开展财政支出绩效评价，对专项资金实施绩效自评和项目核查，在此基础上形成自评报告。</w:t>
      </w:r>
    </w:p>
    <w:p>
      <w:pPr>
        <w:pStyle w:val="8"/>
        <w:numPr>
          <w:ilvl w:val="0"/>
          <w:numId w:val="2"/>
        </w:numPr>
        <w:spacing w:before="0" w:beforeAutospacing="0" w:after="180" w:afterAutospacing="0" w:line="600" w:lineRule="exact"/>
        <w:ind w:left="0" w:firstLine="709"/>
        <w:rPr>
          <w:rFonts w:ascii="仿宋" w:hAnsi="仿宋" w:eastAsia="仿宋"/>
          <w:sz w:val="32"/>
          <w:szCs w:val="32"/>
        </w:rPr>
      </w:pPr>
      <w:r>
        <w:rPr>
          <w:rFonts w:hint="eastAsia" w:ascii="仿宋" w:hAnsi="仿宋" w:eastAsia="仿宋" w:cs="Times New Roman"/>
          <w:sz w:val="32"/>
          <w:szCs w:val="32"/>
        </w:rPr>
        <w:t>强化评价结果应用，组织绩效自评和绩效跟踪监控，对发现的问题及时改进，加强评价结果与项目资金安排的衔接。</w:t>
      </w:r>
    </w:p>
    <w:p>
      <w:pPr>
        <w:pStyle w:val="8"/>
        <w:numPr>
          <w:ilvl w:val="0"/>
          <w:numId w:val="2"/>
        </w:numPr>
        <w:spacing w:before="0" w:beforeAutospacing="0" w:after="180" w:afterAutospacing="0" w:line="600" w:lineRule="exact"/>
        <w:ind w:left="0" w:firstLine="709"/>
        <w:rPr>
          <w:rFonts w:ascii="仿宋" w:hAnsi="仿宋" w:eastAsia="仿宋"/>
          <w:sz w:val="32"/>
          <w:szCs w:val="32"/>
        </w:rPr>
      </w:pPr>
      <w:r>
        <w:rPr>
          <w:rFonts w:hint="eastAsia" w:ascii="仿宋" w:hAnsi="仿宋" w:eastAsia="仿宋" w:cs="Times New Roman"/>
          <w:sz w:val="32"/>
          <w:szCs w:val="32"/>
        </w:rPr>
        <w:t>健全绩效管理工作机制，明确职责分工，努力提高绩效管理工作水平。</w:t>
      </w:r>
    </w:p>
    <w:p>
      <w:pPr>
        <w:pStyle w:val="8"/>
        <w:spacing w:before="0" w:beforeAutospacing="0" w:after="180" w:afterAutospacing="0" w:line="600" w:lineRule="exact"/>
        <w:ind w:left="709"/>
        <w:rPr>
          <w:rFonts w:ascii="仿宋" w:hAnsi="仿宋" w:eastAsia="仿宋" w:cs="Times New Roman"/>
          <w:sz w:val="32"/>
          <w:szCs w:val="32"/>
        </w:rPr>
      </w:pPr>
      <w:r>
        <w:rPr>
          <w:rFonts w:hint="eastAsia" w:ascii="仿宋" w:hAnsi="仿宋" w:eastAsia="仿宋" w:cs="Times New Roman"/>
          <w:sz w:val="32"/>
          <w:szCs w:val="32"/>
        </w:rPr>
        <w:t>（三）预算项目绩效自评选例</w:t>
      </w:r>
    </w:p>
    <w:p>
      <w:pPr>
        <w:spacing w:line="520" w:lineRule="atLeast"/>
        <w:ind w:firstLine="800"/>
        <w:jc w:val="left"/>
        <w:rPr>
          <w:rFonts w:ascii="黑体" w:hAnsi="黑体" w:eastAsia="黑体"/>
          <w:sz w:val="32"/>
          <w:szCs w:val="32"/>
        </w:rPr>
      </w:pPr>
      <w:r>
        <w:rPr>
          <w:rFonts w:hint="eastAsia" w:ascii="黑体" w:hAnsi="黑体" w:eastAsia="黑体"/>
          <w:sz w:val="32"/>
          <w:szCs w:val="32"/>
        </w:rPr>
        <w:t>1、项目政策依据</w:t>
      </w:r>
    </w:p>
    <w:p>
      <w:pPr>
        <w:spacing w:line="520" w:lineRule="atLeast"/>
        <w:ind w:firstLine="640"/>
        <w:jc w:val="left"/>
        <w:rPr>
          <w:rFonts w:ascii="仿宋" w:hAnsi="仿宋" w:eastAsia="仿宋"/>
          <w:sz w:val="32"/>
          <w:szCs w:val="32"/>
        </w:rPr>
      </w:pPr>
      <w:r>
        <w:rPr>
          <w:rFonts w:hint="eastAsia" w:ascii="仿宋" w:hAnsi="仿宋" w:eastAsia="仿宋"/>
          <w:sz w:val="32"/>
          <w:szCs w:val="32"/>
        </w:rPr>
        <w:t>为进一步做好廊坊市大厂回族自治县空气质量提升工作，根据廊坊市大厂回族自治县大气污染防治工作需要，急需聘请专家服务团队进驻并迅速开展指导服务工作。针对当前大气污染防治工作现状，廊坊市大厂回族自治县环境保护局拟参照市对县考核办法，对全县各镇、北辰街道办及园区等行政事业单位实施大气污染防治工作考核，通过安装监测设备，聘请专家团队开展监测服务，实现全县域大气污染防治全覆盖。</w:t>
      </w:r>
    </w:p>
    <w:p>
      <w:pPr>
        <w:spacing w:line="520" w:lineRule="atLeast"/>
        <w:ind w:firstLine="800"/>
        <w:jc w:val="left"/>
        <w:rPr>
          <w:rFonts w:ascii="黑体" w:hAnsi="黑体" w:eastAsia="黑体"/>
          <w:sz w:val="32"/>
          <w:szCs w:val="32"/>
        </w:rPr>
      </w:pPr>
      <w:r>
        <w:rPr>
          <w:rFonts w:hint="eastAsia" w:ascii="黑体" w:hAnsi="黑体" w:eastAsia="黑体"/>
          <w:sz w:val="32"/>
          <w:szCs w:val="32"/>
        </w:rPr>
        <w:t>2、项目资金细化分配情况</w:t>
      </w:r>
    </w:p>
    <w:p>
      <w:pPr>
        <w:spacing w:line="520" w:lineRule="atLeast"/>
        <w:ind w:firstLine="640"/>
        <w:jc w:val="left"/>
        <w:rPr>
          <w:rFonts w:ascii="仿宋" w:hAnsi="仿宋" w:eastAsia="仿宋"/>
          <w:sz w:val="32"/>
          <w:szCs w:val="32"/>
        </w:rPr>
      </w:pPr>
      <w:r>
        <w:rPr>
          <w:rFonts w:hint="eastAsia" w:ascii="仿宋" w:hAnsi="仿宋" w:eastAsia="仿宋"/>
          <w:sz w:val="32"/>
          <w:szCs w:val="32"/>
        </w:rPr>
        <w:t>廊坊市大厂回族自治县空气质量提升服务商采购项目（编号：DGZCG-〔2017〕100号），项目预计总投资为4834121元（人民币），于2017年8月25日进行公开开标，中标价为4820000元（人民币），中标方为廊坊市中环联合环保技术咨询有限公司，并于2017年9月29日正式签订了《采购合同》。委托服务期间自2017年10月至2019年3月止，按照合同要求已于2017年11月完成支付资金总额50%，剩余50%于合同期满后一次性付清。</w:t>
      </w:r>
    </w:p>
    <w:p>
      <w:pPr>
        <w:spacing w:line="520" w:lineRule="atLeast"/>
        <w:ind w:firstLine="800"/>
        <w:jc w:val="left"/>
        <w:rPr>
          <w:rFonts w:ascii="黑体" w:hAnsi="黑体" w:eastAsia="黑体"/>
          <w:sz w:val="32"/>
          <w:szCs w:val="32"/>
        </w:rPr>
      </w:pPr>
      <w:r>
        <w:rPr>
          <w:rFonts w:hint="eastAsia" w:ascii="黑体" w:hAnsi="黑体" w:eastAsia="黑体"/>
          <w:sz w:val="32"/>
          <w:szCs w:val="32"/>
        </w:rPr>
        <w:t>3、绩效自评组织情况</w:t>
      </w:r>
    </w:p>
    <w:p>
      <w:pPr>
        <w:spacing w:line="520" w:lineRule="atLeast"/>
        <w:ind w:firstLine="643"/>
        <w:jc w:val="left"/>
        <w:rPr>
          <w:rFonts w:ascii="楷体" w:hAnsi="楷体" w:eastAsia="楷体"/>
          <w:b/>
          <w:sz w:val="32"/>
          <w:szCs w:val="32"/>
        </w:rPr>
      </w:pPr>
      <w:r>
        <w:rPr>
          <w:rFonts w:hint="eastAsia" w:ascii="楷体" w:hAnsi="楷体" w:eastAsia="楷体"/>
          <w:b/>
          <w:sz w:val="32"/>
          <w:szCs w:val="32"/>
        </w:rPr>
        <w:t>（1）绩效自评标准和方法。</w:t>
      </w:r>
    </w:p>
    <w:p>
      <w:pPr>
        <w:spacing w:line="520" w:lineRule="atLeast"/>
        <w:ind w:firstLine="640"/>
        <w:jc w:val="left"/>
        <w:rPr>
          <w:rFonts w:ascii="仿宋" w:hAnsi="仿宋" w:eastAsia="仿宋"/>
          <w:sz w:val="32"/>
          <w:szCs w:val="32"/>
        </w:rPr>
      </w:pPr>
      <w:r>
        <w:rPr>
          <w:rFonts w:hint="eastAsia" w:ascii="仿宋" w:hAnsi="仿宋" w:eastAsia="仿宋"/>
          <w:sz w:val="32"/>
          <w:szCs w:val="32"/>
        </w:rPr>
        <w:t>为认真做好廊坊市大厂回族自治县环境保护局财政专项资金绩效评价工作，</w:t>
      </w:r>
      <w:r>
        <w:rPr>
          <w:rFonts w:ascii="仿宋" w:hAnsi="仿宋" w:eastAsia="仿宋"/>
          <w:sz w:val="32"/>
          <w:szCs w:val="32"/>
        </w:rPr>
        <w:t>按照</w:t>
      </w:r>
      <w:r>
        <w:rPr>
          <w:rFonts w:hint="eastAsia" w:ascii="仿宋" w:hAnsi="仿宋" w:eastAsia="仿宋"/>
          <w:sz w:val="32"/>
          <w:szCs w:val="32"/>
        </w:rPr>
        <w:t>廊坊市大厂回族自治县财政局财政专项资金绩效评价工作实施方案及财政专项资金绩效评价共性指标体系要求，采用自查的方法对空气质量提升工作聘请专家服务项目进行绩效自评。</w:t>
      </w:r>
    </w:p>
    <w:p>
      <w:pPr>
        <w:spacing w:line="520" w:lineRule="atLeast"/>
        <w:ind w:firstLine="643"/>
        <w:jc w:val="left"/>
        <w:rPr>
          <w:rFonts w:ascii="楷体" w:hAnsi="楷体" w:eastAsia="楷体"/>
          <w:b/>
          <w:sz w:val="32"/>
          <w:szCs w:val="32"/>
        </w:rPr>
      </w:pPr>
      <w:r>
        <w:rPr>
          <w:rFonts w:hint="eastAsia" w:ascii="楷体" w:hAnsi="楷体" w:eastAsia="楷体"/>
          <w:b/>
          <w:sz w:val="32"/>
          <w:szCs w:val="32"/>
        </w:rPr>
        <w:t>（2）绩效自评实施过程。</w:t>
      </w:r>
    </w:p>
    <w:p>
      <w:pPr>
        <w:spacing w:line="520" w:lineRule="atLeast"/>
        <w:ind w:firstLine="803"/>
        <w:rPr>
          <w:rFonts w:ascii="仿宋" w:hAnsi="仿宋" w:eastAsia="仿宋"/>
          <w:sz w:val="32"/>
          <w:szCs w:val="32"/>
        </w:rPr>
      </w:pPr>
      <w:r>
        <w:rPr>
          <w:rFonts w:hint="eastAsia" w:ascii="仿宋" w:hAnsi="仿宋" w:eastAsia="仿宋"/>
          <w:b/>
          <w:sz w:val="32"/>
          <w:szCs w:val="32"/>
        </w:rPr>
        <w:t>前期准备。</w:t>
      </w:r>
      <w:r>
        <w:rPr>
          <w:rFonts w:hint="eastAsia" w:ascii="仿宋" w:hAnsi="仿宋" w:eastAsia="仿宋"/>
          <w:sz w:val="32"/>
          <w:szCs w:val="32"/>
        </w:rPr>
        <w:t>设计评价指标体系，制定评价方案，收集评价资料，准备相关资料备查。</w:t>
      </w:r>
    </w:p>
    <w:p>
      <w:pPr>
        <w:spacing w:line="520" w:lineRule="atLeast"/>
        <w:ind w:firstLine="803"/>
        <w:rPr>
          <w:rFonts w:ascii="仿宋" w:hAnsi="仿宋" w:eastAsia="仿宋"/>
          <w:sz w:val="32"/>
          <w:szCs w:val="32"/>
        </w:rPr>
      </w:pPr>
      <w:r>
        <w:rPr>
          <w:rFonts w:hint="eastAsia" w:ascii="仿宋" w:hAnsi="仿宋" w:eastAsia="仿宋"/>
          <w:b/>
          <w:sz w:val="32"/>
          <w:szCs w:val="32"/>
        </w:rPr>
        <w:t>组织实施。</w:t>
      </w:r>
      <w:r>
        <w:rPr>
          <w:rFonts w:hint="eastAsia" w:ascii="仿宋" w:hAnsi="仿宋" w:eastAsia="仿宋"/>
          <w:sz w:val="32"/>
          <w:szCs w:val="32"/>
        </w:rPr>
        <w:t>对本部门执行完毕的发展性项目全面开展绩效自评，内容包括评价项目资金的执行情况、产出和结果的效益情况及绩效目标的实现程度，并按照规定格式填报《项目支出绩效自评表》和项目自评报告。</w:t>
      </w:r>
    </w:p>
    <w:p>
      <w:pPr>
        <w:spacing w:line="520" w:lineRule="atLeast"/>
        <w:ind w:firstLine="803"/>
        <w:rPr>
          <w:rFonts w:ascii="仿宋" w:hAnsi="仿宋" w:eastAsia="仿宋"/>
          <w:sz w:val="32"/>
          <w:szCs w:val="32"/>
        </w:rPr>
      </w:pPr>
      <w:r>
        <w:rPr>
          <w:rFonts w:hint="eastAsia" w:ascii="仿宋" w:hAnsi="仿宋" w:eastAsia="仿宋"/>
          <w:b/>
          <w:sz w:val="32"/>
          <w:szCs w:val="32"/>
        </w:rPr>
        <w:t>分析评价。</w:t>
      </w:r>
      <w:r>
        <w:rPr>
          <w:rFonts w:hint="eastAsia" w:ascii="仿宋" w:hAnsi="仿宋" w:eastAsia="仿宋"/>
          <w:sz w:val="32"/>
          <w:szCs w:val="32"/>
        </w:rPr>
        <w:t>自评后要认真分析研究评价结果所反映的问题，努力查找资金使用和管理中的薄弱环节，制定改进和提高工作的措施。</w:t>
      </w:r>
    </w:p>
    <w:p>
      <w:pPr>
        <w:spacing w:line="520" w:lineRule="atLeast"/>
        <w:ind w:firstLine="800"/>
        <w:jc w:val="left"/>
        <w:rPr>
          <w:rFonts w:ascii="黑体" w:hAnsi="黑体" w:eastAsia="黑体"/>
          <w:sz w:val="32"/>
          <w:szCs w:val="32"/>
        </w:rPr>
      </w:pPr>
      <w:r>
        <w:rPr>
          <w:rFonts w:hint="eastAsia" w:ascii="黑体" w:hAnsi="黑体" w:eastAsia="黑体"/>
          <w:sz w:val="32"/>
          <w:szCs w:val="32"/>
        </w:rPr>
        <w:t>4、绩效自评指标分析情况</w:t>
      </w:r>
    </w:p>
    <w:p>
      <w:pPr>
        <w:spacing w:line="520" w:lineRule="atLeast"/>
        <w:ind w:firstLine="640"/>
        <w:jc w:val="left"/>
        <w:rPr>
          <w:rFonts w:ascii="仿宋" w:hAnsi="仿宋" w:eastAsia="仿宋"/>
          <w:sz w:val="32"/>
          <w:szCs w:val="32"/>
        </w:rPr>
      </w:pPr>
      <w:r>
        <w:rPr>
          <w:rFonts w:hint="eastAsia" w:ascii="仿宋" w:hAnsi="仿宋" w:eastAsia="仿宋"/>
          <w:sz w:val="32"/>
          <w:szCs w:val="32"/>
        </w:rPr>
        <w:t>根据财政资金项目绩效自评表中各项指标完成情况进行绩效分析。分析项目立项、资金落实、业务管理、财务管理的执行情况，说明扣分原因；分析项目产出和效益的实现程度，说明原因。</w:t>
      </w:r>
    </w:p>
    <w:p>
      <w:pPr>
        <w:spacing w:line="520" w:lineRule="atLeast"/>
        <w:ind w:firstLine="800"/>
        <w:jc w:val="left"/>
        <w:rPr>
          <w:rFonts w:ascii="黑体" w:hAnsi="黑体" w:eastAsia="黑体"/>
          <w:sz w:val="32"/>
          <w:szCs w:val="32"/>
        </w:rPr>
      </w:pPr>
      <w:r>
        <w:rPr>
          <w:rFonts w:hint="eastAsia" w:ascii="黑体" w:hAnsi="黑体" w:eastAsia="黑体"/>
          <w:sz w:val="32"/>
          <w:szCs w:val="32"/>
        </w:rPr>
        <w:t>5、项目综合评价等级和评价结论</w:t>
      </w:r>
    </w:p>
    <w:p>
      <w:pPr>
        <w:spacing w:line="520" w:lineRule="atLeast"/>
        <w:ind w:firstLine="640"/>
        <w:jc w:val="left"/>
        <w:rPr>
          <w:rFonts w:ascii="仿宋" w:hAnsi="仿宋" w:eastAsia="仿宋"/>
          <w:sz w:val="32"/>
          <w:szCs w:val="32"/>
        </w:rPr>
      </w:pPr>
      <w:r>
        <w:rPr>
          <w:rFonts w:hint="eastAsia" w:ascii="仿宋" w:hAnsi="仿宋" w:eastAsia="仿宋"/>
          <w:sz w:val="32"/>
          <w:szCs w:val="32"/>
        </w:rPr>
        <w:t>按照财政专项资金项目绩效自评表要求对空气质量提升工作聘请专家服务项目进行综合评价，得分为100分，绩效自评等级为“优秀”。</w:t>
      </w:r>
    </w:p>
    <w:p>
      <w:pPr>
        <w:spacing w:line="520" w:lineRule="atLeast"/>
        <w:ind w:firstLine="800"/>
        <w:jc w:val="left"/>
        <w:rPr>
          <w:rFonts w:ascii="黑体" w:hAnsi="黑体" w:eastAsia="黑体"/>
          <w:sz w:val="32"/>
          <w:szCs w:val="32"/>
        </w:rPr>
      </w:pPr>
      <w:r>
        <w:rPr>
          <w:rFonts w:hint="eastAsia" w:ascii="黑体" w:hAnsi="黑体" w:eastAsia="黑体"/>
          <w:sz w:val="32"/>
          <w:szCs w:val="32"/>
        </w:rPr>
        <w:t>6、绩效评价结果应用</w:t>
      </w:r>
    </w:p>
    <w:p>
      <w:pPr>
        <w:spacing w:line="520" w:lineRule="atLeast"/>
        <w:ind w:firstLine="640"/>
        <w:jc w:val="left"/>
        <w:rPr>
          <w:rFonts w:ascii="仿宋" w:hAnsi="仿宋" w:eastAsia="仿宋"/>
          <w:sz w:val="32"/>
          <w:szCs w:val="32"/>
        </w:rPr>
      </w:pPr>
      <w:r>
        <w:rPr>
          <w:rFonts w:hint="eastAsia" w:ascii="仿宋" w:hAnsi="仿宋" w:eastAsia="仿宋"/>
          <w:sz w:val="32"/>
          <w:szCs w:val="32"/>
        </w:rPr>
        <w:t>绩效评价对财政专项资金的使用具有重要意义，为使绩效评价结果得到合理应用，应将每次绩效评价结果作为以后年度建设资金分配的重要依据。</w:t>
      </w:r>
    </w:p>
    <w:p>
      <w:pPr>
        <w:spacing w:line="600" w:lineRule="exact"/>
        <w:ind w:firstLine="948"/>
        <w:rPr>
          <w:rFonts w:ascii="楷体" w:hAnsi="楷体" w:eastAsia="楷体"/>
          <w:b/>
          <w:color w:val="484747"/>
          <w:sz w:val="32"/>
          <w:szCs w:val="32"/>
          <w:shd w:val="clear" w:color="auto" w:fill="FFFFFF"/>
        </w:rPr>
      </w:pPr>
      <w:r>
        <w:rPr>
          <w:rFonts w:hint="eastAsia" w:ascii="楷体" w:hAnsi="楷体" w:eastAsia="楷体" w:cs="宋体"/>
          <w:b/>
          <w:color w:val="484747"/>
          <w:sz w:val="32"/>
          <w:szCs w:val="32"/>
        </w:rPr>
        <w:t>七、</w:t>
      </w:r>
      <w:r>
        <w:rPr>
          <w:rFonts w:hint="eastAsia" w:ascii="楷体" w:hAnsi="楷体" w:eastAsia="楷体"/>
          <w:b/>
          <w:color w:val="484747"/>
          <w:sz w:val="32"/>
          <w:szCs w:val="32"/>
          <w:shd w:val="clear" w:color="auto" w:fill="FFFFFF"/>
        </w:rPr>
        <w:t>其他</w:t>
      </w:r>
      <w:r>
        <w:rPr>
          <w:rFonts w:hint="eastAsia" w:ascii="楷体" w:hAnsi="楷体" w:eastAsia="楷体"/>
          <w:b/>
          <w:sz w:val="32"/>
          <w:szCs w:val="32"/>
        </w:rPr>
        <w:t>重要事项的说明</w:t>
      </w:r>
    </w:p>
    <w:p>
      <w:pPr>
        <w:pBdr>
          <w:top w:val="none" w:color="000000" w:sz="0" w:space="3"/>
          <w:left w:val="none" w:color="000000" w:sz="0" w:space="3"/>
          <w:bottom w:val="none" w:color="000000" w:sz="0" w:space="3"/>
          <w:right w:val="none" w:color="000000" w:sz="0" w:space="3"/>
        </w:pBdr>
        <w:shd w:val="clear" w:color="000000" w:fill="FFFFFF"/>
        <w:spacing w:line="600" w:lineRule="exact"/>
        <w:ind w:firstLine="993"/>
        <w:rPr>
          <w:rFonts w:ascii="仿宋" w:hAnsi="仿宋" w:eastAsia="仿宋"/>
          <w:b/>
          <w:sz w:val="32"/>
          <w:szCs w:val="32"/>
        </w:rPr>
      </w:pPr>
      <w:r>
        <w:rPr>
          <w:rFonts w:hint="eastAsia" w:ascii="仿宋" w:hAnsi="仿宋" w:eastAsia="仿宋"/>
          <w:b/>
          <w:color w:val="484747"/>
          <w:sz w:val="32"/>
          <w:szCs w:val="32"/>
          <w:shd w:val="clear" w:color="auto" w:fill="FFFFFF"/>
        </w:rPr>
        <w:t>1、</w:t>
      </w:r>
      <w:r>
        <w:rPr>
          <w:rFonts w:hint="eastAsia" w:ascii="仿宋" w:hAnsi="仿宋" w:eastAsia="仿宋" w:cs="宋体"/>
          <w:b/>
          <w:color w:val="484747"/>
          <w:sz w:val="32"/>
          <w:szCs w:val="32"/>
        </w:rPr>
        <w:t>机关运行经费支出情况的说明</w:t>
      </w:r>
    </w:p>
    <w:p>
      <w:pPr>
        <w:spacing w:line="600" w:lineRule="exact"/>
        <w:ind w:firstLine="640"/>
        <w:rPr>
          <w:rFonts w:ascii="仿宋" w:hAnsi="仿宋" w:eastAsia="仿宋"/>
          <w:sz w:val="32"/>
          <w:szCs w:val="32"/>
        </w:rPr>
      </w:pPr>
      <w:r>
        <w:rPr>
          <w:rFonts w:hint="eastAsia" w:ascii="仿宋" w:hAnsi="仿宋" w:eastAsia="仿宋" w:cs="宋体"/>
          <w:color w:val="484747"/>
          <w:sz w:val="32"/>
          <w:szCs w:val="32"/>
        </w:rPr>
        <w:t>2017年度</w:t>
      </w:r>
      <w:r>
        <w:rPr>
          <w:rFonts w:hint="eastAsia" w:ascii="仿宋" w:hAnsi="仿宋" w:eastAsia="仿宋"/>
          <w:sz w:val="32"/>
          <w:szCs w:val="32"/>
        </w:rPr>
        <w:t>本部门</w:t>
      </w:r>
      <w:r>
        <w:rPr>
          <w:rFonts w:hint="eastAsia" w:ascii="仿宋" w:hAnsi="仿宋" w:eastAsia="仿宋"/>
          <w:color w:val="484747"/>
          <w:sz w:val="32"/>
          <w:szCs w:val="32"/>
          <w:shd w:val="clear" w:color="auto" w:fill="FFFFFF"/>
        </w:rPr>
        <w:t>机关运行经费支出160.48万元，比2016年度减少8.72万元，降低5.15%，主要原因是</w:t>
      </w:r>
      <w:r>
        <w:rPr>
          <w:rFonts w:hint="eastAsia" w:ascii="仿宋" w:hAnsi="仿宋" w:eastAsia="仿宋" w:cs="仿宋"/>
          <w:sz w:val="32"/>
          <w:szCs w:val="32"/>
        </w:rPr>
        <w:t>厉行节约。</w:t>
      </w:r>
    </w:p>
    <w:p>
      <w:pPr>
        <w:pBdr>
          <w:top w:val="none" w:color="000000" w:sz="0" w:space="3"/>
          <w:left w:val="none" w:color="000000" w:sz="0" w:space="3"/>
          <w:bottom w:val="none" w:color="000000" w:sz="0" w:space="3"/>
          <w:right w:val="none" w:color="000000" w:sz="0" w:space="3"/>
        </w:pBdr>
        <w:shd w:val="clear" w:color="000000" w:fill="FFFFFF"/>
        <w:spacing w:line="600" w:lineRule="exact"/>
        <w:ind w:firstLine="993"/>
        <w:rPr>
          <w:rFonts w:ascii="仿宋" w:hAnsi="仿宋" w:eastAsia="仿宋" w:cs="宋体"/>
          <w:b/>
          <w:color w:val="484747"/>
          <w:sz w:val="32"/>
          <w:szCs w:val="32"/>
        </w:rPr>
      </w:pPr>
      <w:r>
        <w:rPr>
          <w:rFonts w:hint="eastAsia" w:ascii="仿宋" w:hAnsi="仿宋" w:eastAsia="仿宋" w:cs="宋体"/>
          <w:b/>
          <w:color w:val="484747"/>
          <w:sz w:val="32"/>
          <w:szCs w:val="32"/>
        </w:rPr>
        <w:t>2、政府采购决算情况</w:t>
      </w:r>
    </w:p>
    <w:p>
      <w:pPr>
        <w:spacing w:line="600" w:lineRule="exact"/>
        <w:ind w:firstLine="630"/>
        <w:rPr>
          <w:rFonts w:ascii="仿宋" w:hAnsi="仿宋" w:eastAsia="仿宋"/>
          <w:sz w:val="32"/>
          <w:szCs w:val="32"/>
        </w:rPr>
      </w:pPr>
      <w:r>
        <w:rPr>
          <w:rFonts w:hint="eastAsia" w:ascii="仿宋" w:hAnsi="仿宋" w:eastAsia="仿宋"/>
          <w:sz w:val="32"/>
          <w:szCs w:val="32"/>
        </w:rPr>
        <w:t>2017年度本部门无政府采购支出。</w:t>
      </w:r>
    </w:p>
    <w:p>
      <w:pPr>
        <w:spacing w:line="600" w:lineRule="exact"/>
        <w:ind w:firstLine="630"/>
        <w:rPr>
          <w:rFonts w:ascii="仿宋" w:hAnsi="仿宋" w:eastAsia="仿宋"/>
          <w:sz w:val="32"/>
          <w:szCs w:val="32"/>
        </w:rPr>
      </w:pPr>
    </w:p>
    <w:tbl>
      <w:tblPr>
        <w:tblStyle w:val="5"/>
        <w:tblW w:w="14140" w:type="dxa"/>
        <w:tblInd w:w="-15" w:type="dxa"/>
        <w:tblLayout w:type="autofit"/>
        <w:tblCellMar>
          <w:top w:w="0" w:type="dxa"/>
          <w:left w:w="10" w:type="dxa"/>
          <w:bottom w:w="0" w:type="dxa"/>
          <w:right w:w="10" w:type="dxa"/>
        </w:tblCellMar>
      </w:tblPr>
      <w:tblGrid>
        <w:gridCol w:w="2020"/>
        <w:gridCol w:w="2020"/>
        <w:gridCol w:w="2020"/>
        <w:gridCol w:w="2020"/>
        <w:gridCol w:w="2020"/>
        <w:gridCol w:w="2020"/>
        <w:gridCol w:w="2020"/>
      </w:tblGrid>
      <w:tr>
        <w:tblPrEx>
          <w:tblCellMar>
            <w:top w:w="0" w:type="dxa"/>
            <w:left w:w="10" w:type="dxa"/>
            <w:bottom w:w="0" w:type="dxa"/>
            <w:right w:w="10" w:type="dxa"/>
          </w:tblCellMar>
        </w:tblPrEx>
        <w:trPr>
          <w:trHeight w:val="540" w:hRule="atLeast"/>
        </w:trPr>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4040" w:type="dxa"/>
            <w:gridSpan w:val="2"/>
            <w:tcBorders>
              <w:top w:val="nil"/>
              <w:left w:val="nil"/>
              <w:bottom w:val="nil"/>
              <w:right w:val="nil"/>
            </w:tcBorders>
            <w:tcMar>
              <w:top w:w="0" w:type="dxa"/>
              <w:left w:w="108" w:type="dxa"/>
              <w:bottom w:w="0" w:type="dxa"/>
              <w:right w:w="108" w:type="dxa"/>
            </w:tcMar>
            <w:vAlign w:val="bottom"/>
          </w:tcPr>
          <w:p>
            <w:pPr>
              <w:widowControl/>
              <w:jc w:val="center"/>
              <w:rPr>
                <w:rFonts w:ascii="宋体" w:hAnsi="宋体" w:cs="Arial"/>
                <w:sz w:val="32"/>
                <w:szCs w:val="32"/>
              </w:rPr>
            </w:pPr>
            <w:r>
              <w:rPr>
                <w:rFonts w:hint="eastAsia" w:ascii="宋体" w:hAnsi="宋体" w:cs="Arial"/>
                <w:sz w:val="32"/>
                <w:szCs w:val="32"/>
              </w:rPr>
              <w:t>政府采购情况表</w:t>
            </w: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r>
      <w:tr>
        <w:tblPrEx>
          <w:tblCellMar>
            <w:top w:w="0" w:type="dxa"/>
            <w:left w:w="10" w:type="dxa"/>
            <w:bottom w:w="0" w:type="dxa"/>
            <w:right w:w="10" w:type="dxa"/>
          </w:tblCellMar>
        </w:tblPrEx>
        <w:trPr>
          <w:trHeight w:val="255" w:hRule="atLeast"/>
        </w:trPr>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right"/>
              <w:rPr>
                <w:rFonts w:ascii="宋体" w:hAnsi="宋体" w:cs="Arial"/>
                <w:sz w:val="20"/>
                <w:szCs w:val="20"/>
              </w:rPr>
            </w:pPr>
            <w:r>
              <w:rPr>
                <w:rFonts w:hint="eastAsia" w:ascii="宋体" w:hAnsi="宋体" w:cs="Arial"/>
                <w:sz w:val="20"/>
                <w:szCs w:val="20"/>
              </w:rPr>
              <w:t>财决公开10表</w:t>
            </w:r>
          </w:p>
        </w:tc>
      </w:tr>
      <w:tr>
        <w:tblPrEx>
          <w:tblCellMar>
            <w:top w:w="0" w:type="dxa"/>
            <w:left w:w="10" w:type="dxa"/>
            <w:bottom w:w="0" w:type="dxa"/>
            <w:right w:w="10" w:type="dxa"/>
          </w:tblCellMar>
        </w:tblPrEx>
        <w:trPr>
          <w:trHeight w:val="255" w:hRule="atLeast"/>
        </w:trPr>
        <w:tc>
          <w:tcPr>
            <w:tcW w:w="6060" w:type="dxa"/>
            <w:gridSpan w:val="3"/>
            <w:tcBorders>
              <w:top w:val="nil"/>
              <w:left w:val="nil"/>
              <w:bottom w:val="nil"/>
              <w:right w:val="nil"/>
            </w:tcBorders>
            <w:tcMar>
              <w:top w:w="0" w:type="dxa"/>
              <w:left w:w="108" w:type="dxa"/>
              <w:bottom w:w="0" w:type="dxa"/>
              <w:right w:w="108" w:type="dxa"/>
            </w:tcMar>
            <w:vAlign w:val="bottom"/>
          </w:tcPr>
          <w:p>
            <w:pPr>
              <w:widowControl/>
              <w:jc w:val="left"/>
              <w:rPr>
                <w:rFonts w:ascii="宋体" w:hAnsi="宋体" w:cs="Arial"/>
                <w:sz w:val="20"/>
                <w:szCs w:val="20"/>
              </w:rPr>
            </w:pPr>
            <w:r>
              <w:rPr>
                <w:rFonts w:hint="eastAsia" w:ascii="宋体" w:hAnsi="宋体" w:cs="Arial"/>
                <w:sz w:val="20"/>
                <w:szCs w:val="20"/>
              </w:rPr>
              <w:t>编制单位：廊坊市大厂回族自治县环境保护局（本级）</w:t>
            </w: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r>
              <w:rPr>
                <w:rFonts w:ascii="Arial" w:hAnsi="Arial" w:cs="Arial"/>
                <w:sz w:val="20"/>
                <w:szCs w:val="20"/>
              </w:rPr>
              <w:t>2017</w:t>
            </w:r>
            <w:r>
              <w:rPr>
                <w:rFonts w:hint="eastAsia" w:ascii="宋体" w:hAnsi="宋体" w:cs="Arial"/>
                <w:sz w:val="20"/>
                <w:szCs w:val="20"/>
              </w:rPr>
              <w:t>年度</w:t>
            </w: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left"/>
              <w:rPr>
                <w:rFonts w:ascii="Arial" w:hAnsi="Arial" w:cs="Arial"/>
                <w:sz w:val="20"/>
                <w:szCs w:val="20"/>
              </w:rPr>
            </w:pPr>
          </w:p>
        </w:tc>
        <w:tc>
          <w:tcPr>
            <w:tcW w:w="2020" w:type="dxa"/>
            <w:tcBorders>
              <w:top w:val="nil"/>
              <w:left w:val="nil"/>
              <w:bottom w:val="nil"/>
              <w:right w:val="nil"/>
            </w:tcBorders>
            <w:tcMar>
              <w:top w:w="0" w:type="dxa"/>
              <w:left w:w="108" w:type="dxa"/>
              <w:bottom w:w="0" w:type="dxa"/>
              <w:right w:w="108" w:type="dxa"/>
            </w:tcMar>
            <w:vAlign w:val="bottom"/>
          </w:tcPr>
          <w:p>
            <w:pPr>
              <w:widowControl/>
              <w:jc w:val="right"/>
              <w:rPr>
                <w:rFonts w:ascii="宋体" w:hAnsi="宋体" w:cs="Arial"/>
                <w:sz w:val="20"/>
                <w:szCs w:val="20"/>
              </w:rPr>
            </w:pPr>
            <w:r>
              <w:rPr>
                <w:rFonts w:hint="eastAsia" w:ascii="宋体" w:hAnsi="宋体" w:cs="Arial"/>
                <w:sz w:val="20"/>
                <w:szCs w:val="20"/>
              </w:rPr>
              <w:t>金额单位：万元</w:t>
            </w:r>
          </w:p>
        </w:tc>
      </w:tr>
      <w:tr>
        <w:tblPrEx>
          <w:tblCellMar>
            <w:top w:w="0" w:type="dxa"/>
            <w:left w:w="10" w:type="dxa"/>
            <w:bottom w:w="0" w:type="dxa"/>
            <w:right w:w="10" w:type="dxa"/>
          </w:tblCellMar>
        </w:tblPrEx>
        <w:trPr>
          <w:trHeight w:val="308" w:hRule="atLeast"/>
        </w:trPr>
        <w:tc>
          <w:tcPr>
            <w:tcW w:w="2020" w:type="dxa"/>
            <w:vMerge w:val="restart"/>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项目</w:t>
            </w:r>
          </w:p>
        </w:tc>
        <w:tc>
          <w:tcPr>
            <w:tcW w:w="12120" w:type="dxa"/>
            <w:gridSpan w:val="6"/>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采购计划金额</w:t>
            </w:r>
          </w:p>
        </w:tc>
      </w:tr>
      <w:tr>
        <w:tblPrEx>
          <w:tblCellMar>
            <w:top w:w="0" w:type="dxa"/>
            <w:left w:w="10" w:type="dxa"/>
            <w:bottom w:w="0" w:type="dxa"/>
            <w:right w:w="10" w:type="dxa"/>
          </w:tblCellMar>
        </w:tblPrEx>
        <w:trPr>
          <w:trHeight w:val="308" w:hRule="atLeast"/>
        </w:trPr>
        <w:tc>
          <w:tcPr>
            <w:tcW w:w="202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20" w:type="dxa"/>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总计</w:t>
            </w:r>
          </w:p>
        </w:tc>
        <w:tc>
          <w:tcPr>
            <w:tcW w:w="8080" w:type="dxa"/>
            <w:gridSpan w:val="4"/>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采购预算(财政性资金)</w:t>
            </w:r>
          </w:p>
        </w:tc>
        <w:tc>
          <w:tcPr>
            <w:tcW w:w="2020" w:type="dxa"/>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非财政性资金</w:t>
            </w:r>
          </w:p>
        </w:tc>
      </w:tr>
      <w:tr>
        <w:tblPrEx>
          <w:tblCellMar>
            <w:top w:w="0" w:type="dxa"/>
            <w:left w:w="10" w:type="dxa"/>
            <w:bottom w:w="0" w:type="dxa"/>
            <w:right w:w="10" w:type="dxa"/>
          </w:tblCellMar>
        </w:tblPrEx>
        <w:trPr>
          <w:trHeight w:val="308" w:hRule="atLeast"/>
        </w:trPr>
        <w:tc>
          <w:tcPr>
            <w:tcW w:w="202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20"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合计</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一般公共预算</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政府性基金预算</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其他资金</w:t>
            </w:r>
          </w:p>
        </w:tc>
        <w:tc>
          <w:tcPr>
            <w:tcW w:w="2020"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2020"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栏次</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1</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2</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3</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4</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5</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6</w:t>
            </w:r>
          </w:p>
        </w:tc>
      </w:tr>
      <w:tr>
        <w:tblPrEx>
          <w:tblCellMar>
            <w:top w:w="0" w:type="dxa"/>
            <w:left w:w="10" w:type="dxa"/>
            <w:bottom w:w="0" w:type="dxa"/>
            <w:right w:w="10" w:type="dxa"/>
          </w:tblCellMar>
        </w:tblPrEx>
        <w:trPr>
          <w:trHeight w:val="308" w:hRule="atLeast"/>
        </w:trPr>
        <w:tc>
          <w:tcPr>
            <w:tcW w:w="2020"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合      计</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r>
      <w:tr>
        <w:tblPrEx>
          <w:tblCellMar>
            <w:top w:w="0" w:type="dxa"/>
            <w:left w:w="10" w:type="dxa"/>
            <w:bottom w:w="0" w:type="dxa"/>
            <w:right w:w="10" w:type="dxa"/>
          </w:tblCellMar>
        </w:tblPrEx>
        <w:trPr>
          <w:trHeight w:val="308" w:hRule="atLeast"/>
        </w:trPr>
        <w:tc>
          <w:tcPr>
            <w:tcW w:w="2020"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货物</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r>
      <w:tr>
        <w:tblPrEx>
          <w:tblCellMar>
            <w:top w:w="0" w:type="dxa"/>
            <w:left w:w="10" w:type="dxa"/>
            <w:bottom w:w="0" w:type="dxa"/>
            <w:right w:w="10" w:type="dxa"/>
          </w:tblCellMar>
        </w:tblPrEx>
        <w:trPr>
          <w:trHeight w:val="308" w:hRule="atLeast"/>
        </w:trPr>
        <w:tc>
          <w:tcPr>
            <w:tcW w:w="2020"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工程</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r>
      <w:tr>
        <w:tblPrEx>
          <w:tblCellMar>
            <w:top w:w="0" w:type="dxa"/>
            <w:left w:w="10" w:type="dxa"/>
            <w:bottom w:w="0" w:type="dxa"/>
            <w:right w:w="10" w:type="dxa"/>
          </w:tblCellMar>
        </w:tblPrEx>
        <w:trPr>
          <w:trHeight w:val="308" w:hRule="atLeast"/>
        </w:trPr>
        <w:tc>
          <w:tcPr>
            <w:tcW w:w="2020"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服务</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r>
      <w:tr>
        <w:tblPrEx>
          <w:tblCellMar>
            <w:top w:w="0" w:type="dxa"/>
            <w:left w:w="10" w:type="dxa"/>
            <w:bottom w:w="0" w:type="dxa"/>
            <w:right w:w="10" w:type="dxa"/>
          </w:tblCellMar>
        </w:tblPrEx>
        <w:trPr>
          <w:trHeight w:val="308" w:hRule="atLeast"/>
        </w:trPr>
        <w:tc>
          <w:tcPr>
            <w:tcW w:w="2020" w:type="dxa"/>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项目</w:t>
            </w:r>
          </w:p>
        </w:tc>
        <w:tc>
          <w:tcPr>
            <w:tcW w:w="12120" w:type="dxa"/>
            <w:gridSpan w:val="6"/>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实际采购金额</w:t>
            </w:r>
          </w:p>
        </w:tc>
      </w:tr>
      <w:tr>
        <w:tblPrEx>
          <w:tblCellMar>
            <w:top w:w="0" w:type="dxa"/>
            <w:left w:w="10" w:type="dxa"/>
            <w:bottom w:w="0" w:type="dxa"/>
            <w:right w:w="10" w:type="dxa"/>
          </w:tblCellMar>
        </w:tblPrEx>
        <w:trPr>
          <w:trHeight w:val="308" w:hRule="atLeast"/>
        </w:trPr>
        <w:tc>
          <w:tcPr>
            <w:tcW w:w="202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20" w:type="dxa"/>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总计</w:t>
            </w:r>
          </w:p>
        </w:tc>
        <w:tc>
          <w:tcPr>
            <w:tcW w:w="8080" w:type="dxa"/>
            <w:gridSpan w:val="4"/>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采购预算(财政性资金)</w:t>
            </w:r>
          </w:p>
        </w:tc>
        <w:tc>
          <w:tcPr>
            <w:tcW w:w="2020" w:type="dxa"/>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非财政性资金</w:t>
            </w:r>
          </w:p>
        </w:tc>
      </w:tr>
      <w:tr>
        <w:tblPrEx>
          <w:tblCellMar>
            <w:top w:w="0" w:type="dxa"/>
            <w:left w:w="10" w:type="dxa"/>
            <w:bottom w:w="0" w:type="dxa"/>
            <w:right w:w="10" w:type="dxa"/>
          </w:tblCellMar>
        </w:tblPrEx>
        <w:trPr>
          <w:trHeight w:val="308" w:hRule="atLeast"/>
        </w:trPr>
        <w:tc>
          <w:tcPr>
            <w:tcW w:w="202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20"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合计</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一般公共预算</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政府性基金预算</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其他资金</w:t>
            </w:r>
          </w:p>
        </w:tc>
        <w:tc>
          <w:tcPr>
            <w:tcW w:w="2020"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2020"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栏次</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7</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8</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9</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10</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11</w:t>
            </w:r>
          </w:p>
        </w:tc>
        <w:tc>
          <w:tcPr>
            <w:tcW w:w="202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12</w:t>
            </w:r>
          </w:p>
        </w:tc>
      </w:tr>
      <w:tr>
        <w:tblPrEx>
          <w:tblCellMar>
            <w:top w:w="0" w:type="dxa"/>
            <w:left w:w="10" w:type="dxa"/>
            <w:bottom w:w="0" w:type="dxa"/>
            <w:right w:w="10" w:type="dxa"/>
          </w:tblCellMar>
        </w:tblPrEx>
        <w:trPr>
          <w:trHeight w:val="308" w:hRule="atLeast"/>
        </w:trPr>
        <w:tc>
          <w:tcPr>
            <w:tcW w:w="2020"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合      计</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r>
      <w:tr>
        <w:tblPrEx>
          <w:tblCellMar>
            <w:top w:w="0" w:type="dxa"/>
            <w:left w:w="10" w:type="dxa"/>
            <w:bottom w:w="0" w:type="dxa"/>
            <w:right w:w="10" w:type="dxa"/>
          </w:tblCellMar>
        </w:tblPrEx>
        <w:trPr>
          <w:trHeight w:val="308" w:hRule="atLeast"/>
        </w:trPr>
        <w:tc>
          <w:tcPr>
            <w:tcW w:w="2020"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货物</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r>
      <w:tr>
        <w:tblPrEx>
          <w:tblCellMar>
            <w:top w:w="0" w:type="dxa"/>
            <w:left w:w="10" w:type="dxa"/>
            <w:bottom w:w="0" w:type="dxa"/>
            <w:right w:w="10" w:type="dxa"/>
          </w:tblCellMar>
        </w:tblPrEx>
        <w:trPr>
          <w:trHeight w:val="308" w:hRule="atLeast"/>
        </w:trPr>
        <w:tc>
          <w:tcPr>
            <w:tcW w:w="2020"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工程</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r>
      <w:tr>
        <w:tblPrEx>
          <w:tblCellMar>
            <w:top w:w="0" w:type="dxa"/>
            <w:left w:w="10" w:type="dxa"/>
            <w:bottom w:w="0" w:type="dxa"/>
            <w:right w:w="10" w:type="dxa"/>
          </w:tblCellMar>
        </w:tblPrEx>
        <w:trPr>
          <w:trHeight w:val="308" w:hRule="atLeast"/>
        </w:trPr>
        <w:tc>
          <w:tcPr>
            <w:tcW w:w="2020"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ascii="宋体" w:hAnsi="宋体" w:cs="Arial"/>
                <w:sz w:val="22"/>
                <w:szCs w:val="22"/>
              </w:rPr>
            </w:pPr>
            <w:r>
              <w:rPr>
                <w:rFonts w:hint="eastAsia" w:ascii="宋体" w:hAnsi="宋体" w:cs="Arial"/>
                <w:sz w:val="22"/>
                <w:szCs w:val="22"/>
              </w:rPr>
              <w:t>服务</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c>
          <w:tcPr>
            <w:tcW w:w="202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ascii="宋体" w:hAnsi="宋体" w:cs="Arial"/>
                <w:sz w:val="22"/>
                <w:szCs w:val="22"/>
              </w:rPr>
            </w:pPr>
            <w:r>
              <w:rPr>
                <w:rFonts w:hint="eastAsia" w:ascii="宋体" w:hAnsi="宋体" w:cs="Arial"/>
                <w:sz w:val="22"/>
                <w:szCs w:val="22"/>
              </w:rPr>
              <w:t>　</w:t>
            </w:r>
          </w:p>
        </w:tc>
      </w:tr>
      <w:tr>
        <w:tblPrEx>
          <w:tblCellMar>
            <w:top w:w="0" w:type="dxa"/>
            <w:left w:w="10" w:type="dxa"/>
            <w:bottom w:w="0" w:type="dxa"/>
            <w:right w:w="10" w:type="dxa"/>
          </w:tblCellMar>
        </w:tblPrEx>
        <w:trPr>
          <w:trHeight w:val="308" w:hRule="atLeast"/>
        </w:trPr>
        <w:tc>
          <w:tcPr>
            <w:tcW w:w="14140" w:type="dxa"/>
            <w:gridSpan w:val="7"/>
            <w:tcBorders>
              <w:top w:val="nil"/>
              <w:left w:val="nil"/>
              <w:bottom w:val="nil"/>
              <w:right w:val="nil"/>
            </w:tcBorders>
            <w:tcMar>
              <w:top w:w="0" w:type="dxa"/>
              <w:left w:w="108" w:type="dxa"/>
              <w:bottom w:w="0" w:type="dxa"/>
              <w:right w:w="108" w:type="dxa"/>
            </w:tcMar>
            <w:vAlign w:val="center"/>
          </w:tcPr>
          <w:p>
            <w:pPr>
              <w:widowControl/>
              <w:jc w:val="left"/>
              <w:rPr>
                <w:rFonts w:ascii="宋体" w:hAnsi="宋体" w:cs="Arial"/>
                <w:sz w:val="20"/>
                <w:szCs w:val="20"/>
              </w:rPr>
            </w:pPr>
            <w:r>
              <w:rPr>
                <w:rFonts w:hint="eastAsia" w:ascii="宋体" w:hAnsi="宋体" w:cs="Arial"/>
                <w:sz w:val="20"/>
                <w:szCs w:val="20"/>
              </w:rPr>
              <w:t>注：本表反映部门本年度纳入部门预算范围的政府采购预算及支出情况。本部门本年度无预算及支出情况，按要求以空表列示。</w:t>
            </w:r>
          </w:p>
        </w:tc>
      </w:tr>
    </w:tbl>
    <w:p>
      <w:pPr>
        <w:spacing w:line="600" w:lineRule="exact"/>
        <w:ind w:firstLine="643"/>
        <w:rPr>
          <w:rFonts w:ascii="仿宋" w:hAnsi="仿宋" w:eastAsia="仿宋"/>
          <w:b/>
          <w:sz w:val="32"/>
          <w:szCs w:val="32"/>
        </w:rPr>
      </w:pPr>
      <w:r>
        <w:rPr>
          <w:rFonts w:hint="eastAsia" w:ascii="仿宋" w:hAnsi="仿宋" w:eastAsia="仿宋"/>
          <w:b/>
          <w:sz w:val="32"/>
          <w:szCs w:val="32"/>
        </w:rPr>
        <w:t>3、国有资产</w:t>
      </w:r>
      <w:r>
        <w:rPr>
          <w:rFonts w:hint="eastAsia" w:ascii="仿宋" w:hAnsi="仿宋" w:eastAsia="仿宋" w:cs="黑体"/>
          <w:b/>
          <w:sz w:val="32"/>
          <w:szCs w:val="32"/>
        </w:rPr>
        <w:t>占用情况</w:t>
      </w:r>
    </w:p>
    <w:p>
      <w:pPr>
        <w:spacing w:line="600" w:lineRule="exact"/>
        <w:ind w:firstLine="630"/>
        <w:rPr>
          <w:rFonts w:ascii="仿宋" w:hAnsi="仿宋" w:eastAsia="仿宋"/>
          <w:color w:val="484747"/>
          <w:sz w:val="32"/>
          <w:szCs w:val="32"/>
          <w:shd w:val="clear" w:color="auto" w:fill="FFFFFF"/>
        </w:rPr>
      </w:pPr>
      <w:r>
        <w:rPr>
          <w:rFonts w:hint="eastAsia" w:ascii="仿宋" w:hAnsi="仿宋" w:eastAsia="仿宋"/>
          <w:sz w:val="32"/>
          <w:szCs w:val="32"/>
        </w:rPr>
        <w:t>截至</w:t>
      </w:r>
      <w:r>
        <w:rPr>
          <w:rFonts w:hint="eastAsia" w:ascii="仿宋" w:hAnsi="仿宋" w:eastAsia="仿宋"/>
          <w:color w:val="484747"/>
          <w:sz w:val="32"/>
          <w:szCs w:val="32"/>
          <w:shd w:val="clear" w:color="auto" w:fill="FFFFFF"/>
        </w:rPr>
        <w:t>2017年12月31日，本部门国有资产占有总体情况是</w:t>
      </w:r>
      <w:r>
        <w:rPr>
          <w:rFonts w:ascii="仿宋" w:hAnsi="仿宋" w:eastAsia="仿宋"/>
          <w:color w:val="484747"/>
          <w:sz w:val="32"/>
          <w:szCs w:val="32"/>
          <w:shd w:val="clear" w:color="auto" w:fill="FFFFFF"/>
        </w:rPr>
        <w:t>837</w:t>
      </w:r>
      <w:r>
        <w:rPr>
          <w:rFonts w:hint="eastAsia" w:ascii="仿宋" w:hAnsi="仿宋" w:eastAsia="仿宋"/>
          <w:color w:val="484747"/>
          <w:sz w:val="32"/>
          <w:szCs w:val="32"/>
          <w:shd w:val="clear" w:color="auto" w:fill="FFFFFF"/>
        </w:rPr>
        <w:t>.</w:t>
      </w:r>
      <w:r>
        <w:rPr>
          <w:rFonts w:ascii="仿宋" w:hAnsi="仿宋" w:eastAsia="仿宋"/>
          <w:color w:val="484747"/>
          <w:sz w:val="32"/>
          <w:szCs w:val="32"/>
          <w:shd w:val="clear" w:color="auto" w:fill="FFFFFF"/>
        </w:rPr>
        <w:t>6</w:t>
      </w:r>
      <w:r>
        <w:rPr>
          <w:rFonts w:hint="eastAsia" w:ascii="仿宋" w:hAnsi="仿宋" w:eastAsia="仿宋"/>
          <w:color w:val="484747"/>
          <w:sz w:val="32"/>
          <w:szCs w:val="32"/>
          <w:shd w:val="clear" w:color="auto" w:fill="FFFFFF"/>
        </w:rPr>
        <w:t>1万元，分布构成为房屋780平方米，价值63.06万元，本年与上年相比无变化；车辆3辆，其中机要通信应急用车1辆、一般执法执勤用车2辆，价值47.96万元，本年与上年相比无变化；其他固定资产726.59万元，本年比上年增加了41.01万元，主要原因是购置了办公设备及专用仪器。其中50万元以上大型设备0台，单位价值100万元以上大型设备1套。</w:t>
      </w:r>
    </w:p>
    <w:p>
      <w:pPr>
        <w:spacing w:line="600" w:lineRule="exact"/>
        <w:ind w:firstLine="630"/>
        <w:rPr>
          <w:rFonts w:ascii="仿宋" w:hAnsi="仿宋" w:eastAsia="仿宋"/>
          <w:b/>
          <w:color w:val="484747"/>
          <w:sz w:val="32"/>
          <w:szCs w:val="32"/>
          <w:shd w:val="clear" w:color="auto" w:fill="FFFFFF"/>
        </w:rPr>
      </w:pPr>
      <w:r>
        <w:rPr>
          <w:rFonts w:hint="eastAsia" w:ascii="仿宋" w:hAnsi="仿宋" w:eastAsia="仿宋"/>
          <w:b/>
          <w:color w:val="484747"/>
          <w:sz w:val="32"/>
          <w:szCs w:val="32"/>
          <w:shd w:val="clear" w:color="auto" w:fill="FFFFFF"/>
        </w:rPr>
        <w:t>4、其他需要说明的情况</w:t>
      </w:r>
    </w:p>
    <w:p>
      <w:pPr>
        <w:pStyle w:val="8"/>
        <w:spacing w:before="0" w:beforeAutospacing="0" w:after="180" w:afterAutospacing="0" w:line="600" w:lineRule="exact"/>
        <w:ind w:firstLine="640"/>
        <w:rPr>
          <w:rFonts w:ascii="仿宋" w:hAnsi="仿宋" w:eastAsia="仿宋" w:cs="Times New Roman"/>
          <w:sz w:val="32"/>
          <w:szCs w:val="32"/>
        </w:rPr>
      </w:pPr>
      <w:r>
        <w:rPr>
          <w:rFonts w:hint="eastAsia" w:ascii="仿宋" w:hAnsi="仿宋" w:eastAsia="仿宋" w:cs="Times New Roman"/>
          <w:sz w:val="32"/>
          <w:szCs w:val="32"/>
        </w:rPr>
        <w:t>1、本部门2017年度</w:t>
      </w:r>
      <w:r>
        <w:rPr>
          <w:rFonts w:hint="eastAsia" w:ascii="仿宋" w:hAnsi="仿宋" w:eastAsia="仿宋"/>
          <w:sz w:val="32"/>
          <w:szCs w:val="32"/>
        </w:rPr>
        <w:t>部门决算未涉及到国有资本经营和政府采购，所以附表</w:t>
      </w:r>
      <w:r>
        <w:rPr>
          <w:rFonts w:hint="eastAsia" w:ascii="仿宋" w:hAnsi="仿宋" w:eastAsia="仿宋" w:cs="Times New Roman"/>
          <w:sz w:val="32"/>
          <w:szCs w:val="32"/>
        </w:rPr>
        <w:t>8《国有资本经营预算财政拨款收入支出决算表》为空表、附表10《</w:t>
      </w:r>
      <w:r>
        <w:rPr>
          <w:rFonts w:hint="eastAsia" w:ascii="仿宋" w:hAnsi="仿宋" w:eastAsia="仿宋"/>
          <w:sz w:val="32"/>
          <w:szCs w:val="32"/>
        </w:rPr>
        <w:t>政府采购情况表</w:t>
      </w:r>
      <w:r>
        <w:rPr>
          <w:rFonts w:hint="eastAsia" w:ascii="仿宋" w:hAnsi="仿宋" w:eastAsia="仿宋" w:cs="Times New Roman"/>
          <w:sz w:val="32"/>
          <w:szCs w:val="32"/>
        </w:rPr>
        <w:t>》为空表。</w:t>
      </w:r>
    </w:p>
    <w:p>
      <w:pPr>
        <w:pStyle w:val="8"/>
        <w:spacing w:before="0" w:beforeAutospacing="0" w:after="180" w:afterAutospacing="0" w:line="600" w:lineRule="exact"/>
        <w:ind w:firstLine="640"/>
        <w:rPr>
          <w:rFonts w:ascii="仿宋" w:hAnsi="仿宋" w:eastAsia="仿宋"/>
          <w:sz w:val="32"/>
          <w:szCs w:val="32"/>
        </w:rPr>
      </w:pPr>
      <w:r>
        <w:rPr>
          <w:rFonts w:hint="eastAsia" w:ascii="仿宋" w:hAnsi="仿宋" w:eastAsia="仿宋" w:cs="Times New Roman"/>
          <w:sz w:val="32"/>
          <w:szCs w:val="32"/>
        </w:rPr>
        <w:t>2、由于决算公开表格中金额数值应当保留两位小数，公开数据为四舍五入计算结果，各别数据合计项与分项之和存在小数点后差额，特此说明。</w:t>
      </w:r>
    </w:p>
    <w:p>
      <w:pPr>
        <w:spacing w:line="600" w:lineRule="exact"/>
        <w:ind w:firstLine="630"/>
        <w:jc w:val="center"/>
        <w:rPr>
          <w:rFonts w:ascii="黑体" w:hAnsi="黑体" w:eastAsia="黑体"/>
          <w:sz w:val="32"/>
          <w:szCs w:val="32"/>
        </w:rPr>
      </w:pPr>
      <w:r>
        <w:rPr>
          <w:rFonts w:hint="eastAsia" w:ascii="方正小标宋简体" w:hAnsi="方正小标宋简体" w:eastAsia="方正小标宋简体"/>
          <w:sz w:val="36"/>
          <w:szCs w:val="36"/>
        </w:rPr>
        <w:t>第四部分   名词解释</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（一）财政拨款收入：本年度从本级财政部门取得的财政拨款，包括一般公共预算财政拨款和政府性基金预算财政拨款。</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（二）事业收入：指事业单位开展专业业务活动及辅助活动所取得的收入。</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（三）其他收入：指除上述</w:t>
      </w:r>
      <w:r>
        <w:rPr>
          <w:rFonts w:ascii="仿宋" w:hAnsi="仿宋" w:eastAsia="仿宋"/>
          <w:sz w:val="32"/>
          <w:szCs w:val="32"/>
        </w:rPr>
        <w:t>“</w:t>
      </w:r>
      <w:r>
        <w:rPr>
          <w:rFonts w:hint="eastAsia" w:ascii="仿宋" w:hAnsi="仿宋" w:eastAsia="仿宋" w:cs="宋体"/>
          <w:sz w:val="32"/>
          <w:szCs w:val="32"/>
        </w:rPr>
        <w:t>财政拨款收入</w:t>
      </w:r>
      <w:r>
        <w:rPr>
          <w:rFonts w:ascii="仿宋" w:hAnsi="仿宋" w:eastAsia="仿宋"/>
          <w:sz w:val="32"/>
          <w:szCs w:val="32"/>
        </w:rPr>
        <w:t>”</w:t>
      </w:r>
      <w:r>
        <w:rPr>
          <w:rFonts w:hint="eastAsia" w:ascii="仿宋" w:hAnsi="仿宋" w:eastAsia="仿宋" w:cs="宋体"/>
          <w:sz w:val="32"/>
          <w:szCs w:val="32"/>
        </w:rPr>
        <w:t>、</w:t>
      </w:r>
      <w:r>
        <w:rPr>
          <w:rFonts w:ascii="仿宋" w:hAnsi="仿宋" w:eastAsia="仿宋"/>
          <w:sz w:val="32"/>
          <w:szCs w:val="32"/>
        </w:rPr>
        <w:t>“</w:t>
      </w:r>
      <w:r>
        <w:rPr>
          <w:rFonts w:hint="eastAsia" w:ascii="仿宋" w:hAnsi="仿宋" w:eastAsia="仿宋" w:cs="宋体"/>
          <w:sz w:val="32"/>
          <w:szCs w:val="32"/>
        </w:rPr>
        <w:t>事业收入</w:t>
      </w:r>
      <w:r>
        <w:rPr>
          <w:rFonts w:ascii="仿宋" w:hAnsi="仿宋" w:eastAsia="仿宋"/>
          <w:sz w:val="32"/>
          <w:szCs w:val="32"/>
        </w:rPr>
        <w:t>”</w:t>
      </w:r>
      <w:r>
        <w:rPr>
          <w:rFonts w:hint="eastAsia" w:ascii="仿宋" w:hAnsi="仿宋" w:eastAsia="仿宋" w:cs="宋体"/>
          <w:sz w:val="32"/>
          <w:szCs w:val="32"/>
        </w:rPr>
        <w:t>、</w:t>
      </w:r>
      <w:r>
        <w:rPr>
          <w:rFonts w:ascii="仿宋" w:hAnsi="仿宋" w:eastAsia="仿宋"/>
          <w:sz w:val="32"/>
          <w:szCs w:val="32"/>
        </w:rPr>
        <w:t>“</w:t>
      </w:r>
      <w:r>
        <w:rPr>
          <w:rFonts w:hint="eastAsia" w:ascii="仿宋" w:hAnsi="仿宋" w:eastAsia="仿宋" w:cs="宋体"/>
          <w:sz w:val="32"/>
          <w:szCs w:val="32"/>
        </w:rPr>
        <w:t>经营收入</w:t>
      </w:r>
      <w:r>
        <w:rPr>
          <w:rFonts w:ascii="仿宋" w:hAnsi="仿宋" w:eastAsia="仿宋"/>
          <w:sz w:val="32"/>
          <w:szCs w:val="32"/>
        </w:rPr>
        <w:t>”</w:t>
      </w:r>
      <w:r>
        <w:rPr>
          <w:rFonts w:hint="eastAsia" w:ascii="仿宋" w:hAnsi="仿宋" w:eastAsia="仿宋" w:cs="宋体"/>
          <w:sz w:val="32"/>
          <w:szCs w:val="32"/>
        </w:rPr>
        <w:t>等以外的收入。</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（四）用事业基金弥补收支差额：指事业单位在用当年的</w:t>
      </w:r>
      <w:r>
        <w:rPr>
          <w:rFonts w:ascii="仿宋" w:hAnsi="仿宋" w:eastAsia="仿宋"/>
          <w:sz w:val="32"/>
          <w:szCs w:val="32"/>
        </w:rPr>
        <w:t>“</w:t>
      </w:r>
      <w:r>
        <w:rPr>
          <w:rFonts w:hint="eastAsia" w:ascii="仿宋" w:hAnsi="仿宋" w:eastAsia="仿宋" w:cs="宋体"/>
          <w:sz w:val="32"/>
          <w:szCs w:val="32"/>
        </w:rPr>
        <w:t>财政拨款收入</w:t>
      </w:r>
      <w:r>
        <w:rPr>
          <w:rFonts w:ascii="仿宋" w:hAnsi="仿宋" w:eastAsia="仿宋"/>
          <w:sz w:val="32"/>
          <w:szCs w:val="32"/>
        </w:rPr>
        <w:t>”</w:t>
      </w:r>
      <w:r>
        <w:rPr>
          <w:rFonts w:hint="eastAsia" w:ascii="仿宋" w:hAnsi="仿宋" w:eastAsia="仿宋" w:cs="宋体"/>
          <w:sz w:val="32"/>
          <w:szCs w:val="32"/>
        </w:rPr>
        <w:t>、</w:t>
      </w:r>
      <w:r>
        <w:rPr>
          <w:rFonts w:ascii="仿宋" w:hAnsi="仿宋" w:eastAsia="仿宋"/>
          <w:sz w:val="32"/>
          <w:szCs w:val="32"/>
        </w:rPr>
        <w:t>“</w:t>
      </w:r>
      <w:r>
        <w:rPr>
          <w:rFonts w:hint="eastAsia" w:ascii="仿宋" w:hAnsi="仿宋" w:eastAsia="仿宋" w:cs="宋体"/>
          <w:sz w:val="32"/>
          <w:szCs w:val="32"/>
        </w:rPr>
        <w:t>财政拨款结转和结余资金</w:t>
      </w:r>
      <w:r>
        <w:rPr>
          <w:rFonts w:ascii="仿宋" w:hAnsi="仿宋" w:eastAsia="仿宋"/>
          <w:sz w:val="32"/>
          <w:szCs w:val="32"/>
        </w:rPr>
        <w:t>”</w:t>
      </w:r>
      <w:r>
        <w:rPr>
          <w:rFonts w:hint="eastAsia" w:ascii="仿宋" w:hAnsi="仿宋" w:eastAsia="仿宋" w:cs="宋体"/>
          <w:sz w:val="32"/>
          <w:szCs w:val="32"/>
        </w:rPr>
        <w:t>、</w:t>
      </w:r>
      <w:r>
        <w:rPr>
          <w:rFonts w:ascii="仿宋" w:hAnsi="仿宋" w:eastAsia="仿宋"/>
          <w:sz w:val="32"/>
          <w:szCs w:val="32"/>
        </w:rPr>
        <w:t>“</w:t>
      </w:r>
      <w:r>
        <w:rPr>
          <w:rFonts w:hint="eastAsia" w:ascii="仿宋" w:hAnsi="仿宋" w:eastAsia="仿宋" w:cs="宋体"/>
          <w:sz w:val="32"/>
          <w:szCs w:val="32"/>
        </w:rPr>
        <w:t>事业收入</w:t>
      </w:r>
      <w:r>
        <w:rPr>
          <w:rFonts w:ascii="仿宋" w:hAnsi="仿宋" w:eastAsia="仿宋"/>
          <w:sz w:val="32"/>
          <w:szCs w:val="32"/>
        </w:rPr>
        <w:t>”</w:t>
      </w:r>
      <w:r>
        <w:rPr>
          <w:rFonts w:hint="eastAsia" w:ascii="仿宋" w:hAnsi="仿宋" w:eastAsia="仿宋" w:cs="宋体"/>
          <w:sz w:val="32"/>
          <w:szCs w:val="32"/>
        </w:rPr>
        <w:t>、</w:t>
      </w:r>
      <w:r>
        <w:rPr>
          <w:rFonts w:ascii="仿宋" w:hAnsi="仿宋" w:eastAsia="仿宋"/>
          <w:sz w:val="32"/>
          <w:szCs w:val="32"/>
        </w:rPr>
        <w:t>“</w:t>
      </w:r>
      <w:r>
        <w:rPr>
          <w:rFonts w:hint="eastAsia" w:ascii="仿宋" w:hAnsi="仿宋" w:eastAsia="仿宋" w:cs="宋体"/>
          <w:sz w:val="32"/>
          <w:szCs w:val="32"/>
        </w:rPr>
        <w:t>经营收入</w:t>
      </w:r>
      <w:r>
        <w:rPr>
          <w:rFonts w:ascii="仿宋" w:hAnsi="仿宋" w:eastAsia="仿宋"/>
          <w:sz w:val="32"/>
          <w:szCs w:val="32"/>
        </w:rPr>
        <w:t>”</w:t>
      </w:r>
      <w:r>
        <w:rPr>
          <w:rFonts w:hint="eastAsia" w:ascii="仿宋" w:hAnsi="仿宋" w:eastAsia="仿宋" w:cs="宋体"/>
          <w:sz w:val="32"/>
          <w:szCs w:val="32"/>
        </w:rPr>
        <w:t>、</w:t>
      </w:r>
      <w:r>
        <w:rPr>
          <w:rFonts w:ascii="仿宋" w:hAnsi="仿宋" w:eastAsia="仿宋"/>
          <w:sz w:val="32"/>
          <w:szCs w:val="32"/>
        </w:rPr>
        <w:t>“</w:t>
      </w:r>
      <w:r>
        <w:rPr>
          <w:rFonts w:hint="eastAsia" w:ascii="仿宋" w:hAnsi="仿宋" w:eastAsia="仿宋" w:cs="宋体"/>
          <w:sz w:val="32"/>
          <w:szCs w:val="32"/>
        </w:rPr>
        <w:t>其他收入</w:t>
      </w:r>
      <w:r>
        <w:rPr>
          <w:rFonts w:ascii="仿宋" w:hAnsi="仿宋" w:eastAsia="仿宋"/>
          <w:sz w:val="32"/>
          <w:szCs w:val="32"/>
        </w:rPr>
        <w:t>”</w:t>
      </w:r>
      <w:r>
        <w:rPr>
          <w:rFonts w:hint="eastAsia" w:ascii="仿宋" w:hAnsi="仿宋" w:eastAsia="仿宋" w:cs="宋体"/>
          <w:sz w:val="32"/>
          <w:szCs w:val="32"/>
        </w:rPr>
        <w:t>不足以安排当年支出的情况下，使用以前年度积累的事业基金（事业单位当年收支相抵后按国家规定提取、用于弥补以后年度收支差额的基金）弥补本年度收支缺口的资金。</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（五）年初结转和结余：指以前年度尚未完成、结转到本年仍按原规定用途继续使用的资金，或项目已完成等产生的结余资金。</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（六）结余分配：指事业单位按照事业单位会计制度的规定从非财政补助结余中分配的事业基金和职工福利基金等。</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（七）年末结转和结余：指单位按有关规定结转到下年或以后年度继续使用的资金，或项目已完成等产生的结余资金。</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（八）基本支出：填列单位为保障机构正常运转、完成日常工作任务而发生的各项支出。</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（九）项目支出：填列单位为完成特定的行政工作任务或事业发展目标，在基本支出之外发生的各项支出</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（十二）</w:t>
      </w:r>
      <w:r>
        <w:rPr>
          <w:rFonts w:ascii="仿宋" w:hAnsi="仿宋" w:eastAsia="仿宋"/>
          <w:sz w:val="32"/>
          <w:szCs w:val="32"/>
        </w:rPr>
        <w:t>“</w:t>
      </w:r>
      <w:r>
        <w:rPr>
          <w:rFonts w:hint="eastAsia" w:ascii="仿宋" w:hAnsi="仿宋" w:eastAsia="仿宋" w:cs="宋体"/>
          <w:sz w:val="32"/>
          <w:szCs w:val="32"/>
        </w:rPr>
        <w:t>三公</w:t>
      </w:r>
      <w:r>
        <w:rPr>
          <w:rFonts w:ascii="仿宋" w:hAnsi="仿宋" w:eastAsia="仿宋"/>
          <w:sz w:val="32"/>
          <w:szCs w:val="32"/>
        </w:rPr>
        <w:t>”</w:t>
      </w:r>
      <w:r>
        <w:rPr>
          <w:rFonts w:hint="eastAsia" w:ascii="仿宋" w:hAnsi="仿宋" w:eastAsia="仿宋" w:cs="宋体"/>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（十三）其他交通费用：填列单位除公务用车运行维护费以外的其他交通费用。如飞机、船舶等的燃料费、维修费、过桥过路费、保险费、出租车费用、公务交通补贴等。</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（十四）公务用车购置：填列单位公务用车车辆购置支出（含车辆购置税）。</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24"/>
        </w:rPr>
      </w:pPr>
      <w:r>
        <w:rPr>
          <w:rFonts w:hint="eastAsia" w:ascii="仿宋" w:hAnsi="仿宋" w:eastAsia="仿宋" w:cs="宋体"/>
          <w:sz w:val="32"/>
          <w:szCs w:val="32"/>
        </w:rPr>
        <w:t>（十五）其他交通工具购置：填列单位除公务用车外的其他各类交通工具（如船舶、飞机）购置支出（含车辆购置税）。</w:t>
      </w:r>
    </w:p>
    <w:p>
      <w:pPr>
        <w:widowControl/>
        <w:pBdr>
          <w:top w:val="none" w:color="000000" w:sz="0" w:space="3"/>
          <w:left w:val="none" w:color="000000" w:sz="0" w:space="3"/>
          <w:bottom w:val="none" w:color="000000" w:sz="0" w:space="3"/>
          <w:right w:val="none" w:color="000000" w:sz="0" w:space="3"/>
        </w:pBdr>
        <w:shd w:val="clear" w:color="000000" w:fill="FFFFFF"/>
        <w:spacing w:line="540" w:lineRule="exact"/>
        <w:ind w:firstLine="640"/>
        <w:jc w:val="left"/>
        <w:rPr>
          <w:rFonts w:ascii="仿宋" w:hAnsi="仿宋" w:eastAsia="仿宋" w:cs="宋体"/>
          <w:sz w:val="32"/>
          <w:szCs w:val="32"/>
        </w:rPr>
      </w:pPr>
      <w:r>
        <w:rPr>
          <w:rFonts w:hint="eastAsia" w:ascii="仿宋" w:hAnsi="仿宋" w:eastAsia="仿宋" w:cs="宋体"/>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endnotePr>
        <w:numFmt w:val="decimal"/>
      </w:endnotePr>
      <w:pgSz w:w="16838" w:h="11906" w:orient="landscape"/>
      <w:pgMar w:top="1800" w:right="1440" w:bottom="180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方正北魏楷书繁体"/>
    <w:panose1 w:val="00000000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北魏楷书繁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C3597"/>
    <w:multiLevelType w:val="multilevel"/>
    <w:tmpl w:val="0DFC3597"/>
    <w:lvl w:ilvl="0" w:tentative="0">
      <w:start w:val="1"/>
      <w:numFmt w:val="none"/>
      <w:lvlText w:val="一、"/>
      <w:lvlJc w:val="left"/>
      <w:pPr>
        <w:ind w:left="640" w:firstLine="0"/>
      </w:pPr>
    </w:lvl>
    <w:lvl w:ilvl="1" w:tentative="0">
      <w:start w:val="1"/>
      <w:numFmt w:val="lowerLetter"/>
      <w:lvlText w:val="%2)"/>
      <w:lvlJc w:val="left"/>
      <w:pPr>
        <w:ind w:left="1060" w:firstLine="0"/>
      </w:pPr>
    </w:lvl>
    <w:lvl w:ilvl="2" w:tentative="0">
      <w:start w:val="1"/>
      <w:numFmt w:val="lowerRoman"/>
      <w:lvlText w:val="%3."/>
      <w:lvlJc w:val="left"/>
      <w:pPr>
        <w:ind w:left="1480" w:firstLine="0"/>
      </w:pPr>
    </w:lvl>
    <w:lvl w:ilvl="3" w:tentative="0">
      <w:start w:val="1"/>
      <w:numFmt w:val="decimal"/>
      <w:lvlText w:val="%4."/>
      <w:lvlJc w:val="left"/>
      <w:pPr>
        <w:ind w:left="1900" w:firstLine="0"/>
      </w:pPr>
    </w:lvl>
    <w:lvl w:ilvl="4" w:tentative="0">
      <w:start w:val="1"/>
      <w:numFmt w:val="lowerLetter"/>
      <w:lvlText w:val="%5)"/>
      <w:lvlJc w:val="left"/>
      <w:pPr>
        <w:ind w:left="2320" w:firstLine="0"/>
      </w:pPr>
    </w:lvl>
    <w:lvl w:ilvl="5" w:tentative="0">
      <w:start w:val="1"/>
      <w:numFmt w:val="lowerRoman"/>
      <w:lvlText w:val="%6."/>
      <w:lvlJc w:val="left"/>
      <w:pPr>
        <w:ind w:left="2740" w:firstLine="0"/>
      </w:pPr>
    </w:lvl>
    <w:lvl w:ilvl="6" w:tentative="0">
      <w:start w:val="1"/>
      <w:numFmt w:val="decimal"/>
      <w:lvlText w:val="%7."/>
      <w:lvlJc w:val="left"/>
      <w:pPr>
        <w:ind w:left="3160" w:firstLine="0"/>
      </w:pPr>
    </w:lvl>
    <w:lvl w:ilvl="7" w:tentative="0">
      <w:start w:val="1"/>
      <w:numFmt w:val="lowerLetter"/>
      <w:lvlText w:val="%8)"/>
      <w:lvlJc w:val="left"/>
      <w:pPr>
        <w:ind w:left="3580" w:firstLine="0"/>
      </w:pPr>
    </w:lvl>
    <w:lvl w:ilvl="8" w:tentative="0">
      <w:start w:val="1"/>
      <w:numFmt w:val="lowerRoman"/>
      <w:lvlText w:val="%9."/>
      <w:lvlJc w:val="left"/>
      <w:pPr>
        <w:ind w:left="4000" w:firstLine="0"/>
      </w:pPr>
    </w:lvl>
  </w:abstractNum>
  <w:abstractNum w:abstractNumId="1">
    <w:nsid w:val="6F4F0770"/>
    <w:multiLevelType w:val="multilevel"/>
    <w:tmpl w:val="6F4F0770"/>
    <w:lvl w:ilvl="0" w:tentative="0">
      <w:start w:val="1"/>
      <w:numFmt w:val="decimal"/>
      <w:lvlText w:val="%1、"/>
      <w:lvlJc w:val="left"/>
      <w:pPr>
        <w:ind w:left="641" w:firstLine="0"/>
      </w:pPr>
      <w:rPr>
        <w:rFonts w:ascii="仿宋" w:hAnsi="仿宋" w:eastAsia="仿宋" w:cs="Times New Roman"/>
      </w:rPr>
    </w:lvl>
    <w:lvl w:ilvl="1" w:tentative="0">
      <w:start w:val="1"/>
      <w:numFmt w:val="lowerLetter"/>
      <w:lvlText w:val="%2)"/>
      <w:lvlJc w:val="left"/>
      <w:pPr>
        <w:ind w:left="1061" w:firstLine="0"/>
      </w:pPr>
    </w:lvl>
    <w:lvl w:ilvl="2" w:tentative="0">
      <w:start w:val="1"/>
      <w:numFmt w:val="lowerRoman"/>
      <w:lvlText w:val="%3."/>
      <w:lvlJc w:val="left"/>
      <w:pPr>
        <w:ind w:left="1481" w:firstLine="0"/>
      </w:pPr>
    </w:lvl>
    <w:lvl w:ilvl="3" w:tentative="0">
      <w:start w:val="1"/>
      <w:numFmt w:val="decimal"/>
      <w:lvlText w:val="%4."/>
      <w:lvlJc w:val="left"/>
      <w:pPr>
        <w:ind w:left="1901" w:firstLine="0"/>
      </w:pPr>
    </w:lvl>
    <w:lvl w:ilvl="4" w:tentative="0">
      <w:start w:val="1"/>
      <w:numFmt w:val="lowerLetter"/>
      <w:lvlText w:val="%5)"/>
      <w:lvlJc w:val="left"/>
      <w:pPr>
        <w:ind w:left="2321" w:firstLine="0"/>
      </w:pPr>
    </w:lvl>
    <w:lvl w:ilvl="5" w:tentative="0">
      <w:start w:val="1"/>
      <w:numFmt w:val="lowerRoman"/>
      <w:lvlText w:val="%6."/>
      <w:lvlJc w:val="left"/>
      <w:pPr>
        <w:ind w:left="2741" w:firstLine="0"/>
      </w:pPr>
    </w:lvl>
    <w:lvl w:ilvl="6" w:tentative="0">
      <w:start w:val="1"/>
      <w:numFmt w:val="decimal"/>
      <w:lvlText w:val="%7."/>
      <w:lvlJc w:val="left"/>
      <w:pPr>
        <w:ind w:left="3161" w:firstLine="0"/>
      </w:pPr>
    </w:lvl>
    <w:lvl w:ilvl="7" w:tentative="0">
      <w:start w:val="1"/>
      <w:numFmt w:val="lowerLetter"/>
      <w:lvlText w:val="%8)"/>
      <w:lvlJc w:val="left"/>
      <w:pPr>
        <w:ind w:left="3581" w:firstLine="0"/>
      </w:pPr>
    </w:lvl>
    <w:lvl w:ilvl="8" w:tentative="0">
      <w:start w:val="1"/>
      <w:numFmt w:val="lowerRoman"/>
      <w:lvlText w:val="%9."/>
      <w:lvlJc w:val="left"/>
      <w:pPr>
        <w:ind w:left="4001"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characterSpacingControl w:val="doNotCompress"/>
  <w:endnotePr>
    <w:numFmt w:val="decimal"/>
  </w:endnotePr>
  <w:compat>
    <w:doNotExpandShiftReturn/>
    <w:useFELayout/>
    <w:compatSetting w:name="compatibilityMode" w:uri="http://schemas.microsoft.com/office/word" w:val="12"/>
  </w:compat>
  <w:rsids>
    <w:rsidRoot w:val="00D050C4"/>
    <w:rsid w:val="00504D41"/>
    <w:rsid w:val="00572B3C"/>
    <w:rsid w:val="006650E1"/>
    <w:rsid w:val="007F1EDD"/>
    <w:rsid w:val="00963080"/>
    <w:rsid w:val="00C374A5"/>
    <w:rsid w:val="00CC3AD9"/>
    <w:rsid w:val="00D050C4"/>
    <w:rsid w:val="16954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semiHidden/>
    <w:unhideWhenUsed/>
    <w:uiPriority w:val="99"/>
    <w:pPr>
      <w:tabs>
        <w:tab w:val="center" w:pos="4153"/>
        <w:tab w:val="right" w:pos="8306"/>
      </w:tabs>
      <w:snapToGrid w:val="0"/>
      <w:jc w:val="left"/>
    </w:pPr>
    <w:rPr>
      <w:sz w:val="18"/>
      <w:szCs w:val="18"/>
    </w:rPr>
  </w:style>
  <w:style w:type="paragraph" w:styleId="3">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4"/>
      <w:lang w:val="en-US" w:eastAsia="zh-CN" w:bidi="ar-SA"/>
    </w:rPr>
  </w:style>
  <w:style w:type="character" w:styleId="7">
    <w:name w:val="Hyperlink"/>
    <w:uiPriority w:val="0"/>
    <w:rPr>
      <w:color w:val="0000FF"/>
      <w:u w:val="single"/>
    </w:rPr>
  </w:style>
  <w:style w:type="paragraph" w:customStyle="1" w:styleId="8">
    <w:name w:val="txt"/>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4"/>
      <w:lang w:val="en-US" w:eastAsia="zh-CN" w:bidi="ar-SA"/>
    </w:rPr>
  </w:style>
  <w:style w:type="paragraph" w:customStyle="1" w:styleId="9">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Times New Roman" w:hAnsi="Times New Roman" w:eastAsia="宋体" w:cs="Times New Roman"/>
      <w:kern w:val="1"/>
      <w:sz w:val="18"/>
      <w:szCs w:val="18"/>
      <w:lang w:val="en-US" w:eastAsia="zh-CN" w:bidi="ar-SA"/>
    </w:rPr>
  </w:style>
  <w:style w:type="paragraph" w:customStyle="1" w:styleId="10">
    <w:name w:val="Footer"/>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center" w:pos="4153"/>
        <w:tab w:val="right" w:pos="8306"/>
      </w:tabs>
      <w:jc w:val="left"/>
    </w:pPr>
    <w:rPr>
      <w:rFonts w:ascii="Times New Roman" w:hAnsi="Times New Roman" w:eastAsia="宋体" w:cs="Times New Roman"/>
      <w:kern w:val="1"/>
      <w:sz w:val="18"/>
      <w:szCs w:val="18"/>
      <w:lang w:val="en-US" w:eastAsia="zh-CN" w:bidi="ar-SA"/>
    </w:rPr>
  </w:style>
  <w:style w:type="paragraph" w:customStyle="1" w:styleId="11">
    <w:name w:val="正文文本缩进1"/>
    <w:qFormat/>
    <w:uiPriority w:val="0"/>
    <w:pPr>
      <w:widowControl/>
      <w:pBdr>
        <w:top w:val="none" w:color="000000" w:sz="0" w:space="3"/>
        <w:left w:val="none" w:color="000000" w:sz="0" w:space="3"/>
        <w:bottom w:val="none" w:color="000000" w:sz="0" w:space="3"/>
        <w:right w:val="none" w:color="000000" w:sz="0" w:space="3"/>
        <w:between w:val="none" w:color="000000" w:sz="0" w:space="0"/>
      </w:pBdr>
      <w:ind w:firstLine="780"/>
      <w:jc w:val="both"/>
    </w:pPr>
    <w:rPr>
      <w:rFonts w:ascii="Times New Roman" w:hAnsi="Times New Roman" w:eastAsia="Times New Roman" w:cs="Times New Roman"/>
      <w:kern w:val="1"/>
      <w:sz w:val="32"/>
      <w:szCs w:val="20"/>
      <w:lang w:val="en-US" w:eastAsia="zh-CN" w:bidi="ar-SA"/>
    </w:rPr>
  </w:style>
  <w:style w:type="paragraph" w:styleId="12">
    <w:name w:val="List Paragraph"/>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firstLine="420"/>
      <w:jc w:val="both"/>
    </w:pPr>
    <w:rPr>
      <w:rFonts w:ascii="Times New Roman" w:hAnsi="Times New Roman" w:eastAsia="宋体" w:cs="Times New Roman"/>
      <w:kern w:val="1"/>
      <w:sz w:val="21"/>
      <w:szCs w:val="24"/>
      <w:lang w:val="en-US" w:eastAsia="zh-CN" w:bidi="ar-SA"/>
    </w:rPr>
  </w:style>
  <w:style w:type="paragraph" w:customStyle="1" w:styleId="13">
    <w:name w:val="Char Char Char Char Char Char Char Char Char Char Char Char Char"/>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4"/>
      <w:lang w:val="en-US" w:eastAsia="zh-CN" w:bidi="ar-SA"/>
    </w:rPr>
  </w:style>
  <w:style w:type="character" w:customStyle="1" w:styleId="14">
    <w:name w:val="页眉 Char"/>
    <w:uiPriority w:val="0"/>
    <w:rPr>
      <w:sz w:val="18"/>
      <w:szCs w:val="18"/>
    </w:rPr>
  </w:style>
  <w:style w:type="character" w:customStyle="1" w:styleId="15">
    <w:name w:val="页脚 Char"/>
    <w:uiPriority w:val="0"/>
    <w:rPr>
      <w:sz w:val="18"/>
      <w:szCs w:val="18"/>
    </w:rPr>
  </w:style>
  <w:style w:type="character" w:customStyle="1" w:styleId="16">
    <w:name w:val="页眉 Char1"/>
    <w:basedOn w:val="6"/>
    <w:link w:val="3"/>
    <w:semiHidden/>
    <w:uiPriority w:val="99"/>
    <w:rPr>
      <w:sz w:val="18"/>
      <w:szCs w:val="18"/>
    </w:rPr>
  </w:style>
  <w:style w:type="character" w:customStyle="1" w:styleId="17">
    <w:name w:val="页脚 Char1"/>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16</Pages>
  <Words>959</Words>
  <Characters>5471</Characters>
  <Lines>45</Lines>
  <Paragraphs>12</Paragraphs>
  <TotalTime>34</TotalTime>
  <ScaleCrop>false</ScaleCrop>
  <LinksUpToDate>false</LinksUpToDate>
  <CharactersWithSpaces>6418</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2017-03-14T07:23:00Z</dcterms:created>
  <dc:creator>kuaijishi</dc:creator>
  <cp:lastModifiedBy>OFFICE</cp:lastModifiedBy>
  <dcterms:modified xsi:type="dcterms:W3CDTF">2023-12-29T07:14:35Z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6925F95905F34579949BC08E9EC6A1F5</vt:lpwstr>
  </property>
</Properties>
</file>